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Pr>
        <w:drawing>
          <wp:inline distT="0" distB="0" distL="0" distR="0">
            <wp:extent cx="5943473" cy="1060879"/>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5943473" cy="1060879"/>
                    </a:xfrm>
                    <a:prstGeom prst="rect">
                      <a:avLst/>
                    </a:prstGeom>
                    <a:ln w="12700" cap="flat">
                      <a:noFill/>
                      <a:miter lim="400000"/>
                    </a:ln>
                    <a:effectLst/>
                  </pic:spPr>
                </pic:pic>
              </a:graphicData>
            </a:graphic>
          </wp:inline>
        </w:drawing>
      </w:r>
    </w:p>
    <w:p>
      <w:pPr>
        <w:pStyle w:val="Body"/>
        <w:rPr>
          <w:rFonts w:ascii="Lato" w:cs="Lato" w:hAnsi="Lato" w:eastAsia="Lato"/>
          <w:sz w:val="80"/>
          <w:szCs w:val="80"/>
        </w:rPr>
      </w:pPr>
      <w:r>
        <w:rPr>
          <w:rFonts w:ascii="Lato" w:cs="Lato" w:hAnsi="Lato" w:eastAsia="Lato"/>
          <w:sz w:val="80"/>
          <w:szCs w:val="80"/>
          <w:rtl w:val="0"/>
          <w:lang w:val="de-DE"/>
        </w:rPr>
        <w:t>Media Brief</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pPr>
      <w:r>
        <w:rPr>
          <w:rFonts w:ascii="Lato" w:cs="Lato" w:hAnsi="Lato" w:eastAsia="Lato"/>
          <w:b w:val="1"/>
          <w:bCs w:val="1"/>
          <w:sz w:val="28"/>
          <w:szCs w:val="28"/>
          <w:rtl w:val="0"/>
          <w:lang w:val="en-US"/>
        </w:rPr>
        <w:t>By</w:t>
      </w:r>
      <w:r>
        <w:rPr>
          <w:rFonts w:ascii="Lato" w:cs="Lato" w:hAnsi="Lato" w:eastAsia="Lato"/>
          <w:sz w:val="28"/>
          <w:szCs w:val="28"/>
          <w:rtl w:val="0"/>
        </w:rPr>
        <w:t xml:space="preserve">: </w:t>
      </w:r>
      <w:r>
        <w:rPr>
          <w:rFonts w:ascii="Lato" w:cs="Lato" w:hAnsi="Lato" w:eastAsia="Lato"/>
          <w:sz w:val="32"/>
          <w:szCs w:val="32"/>
          <w:rtl w:val="0"/>
          <w:lang w:val="it-IT"/>
        </w:rPr>
        <w:t>Sofia Romualdez, Jerome Arcangel, and Alex Guerrero</w:t>
      </w:r>
      <w:r>
        <w:rPr>
          <w:rFonts w:ascii="Arial Unicode MS" w:cs="Arial Unicode MS" w:hAnsi="Arial Unicode MS" w:eastAsia="Arial Unicode MS"/>
          <w:b w:val="0"/>
          <w:bCs w:val="0"/>
          <w:i w:val="0"/>
          <w:iCs w:val="0"/>
        </w:rPr>
        <w:br w:type="page"/>
      </w:r>
    </w:p>
    <w:p>
      <w:pPr>
        <w:pStyle w:val="Body"/>
        <w:rPr>
          <w:b w:val="1"/>
          <w:bCs w:val="1"/>
        </w:rPr>
      </w:pPr>
    </w:p>
    <w:p>
      <w:pPr>
        <w:pStyle w:val="Body"/>
        <w:tabs>
          <w:tab w:val="right" w:pos="9340"/>
        </w:tabs>
        <w:spacing w:before="80" w:line="240" w:lineRule="auto"/>
      </w:pPr>
      <w:r>
        <w:rPr>
          <w:rStyle w:val="Hyperlink.0"/>
        </w:rPr>
        <w:fldChar w:fldCharType="begin" w:fldLock="0"/>
      </w:r>
      <w:r>
        <w:rPr>
          <w:rStyle w:val="Hyperlink.0"/>
        </w:rPr>
        <w:instrText xml:space="preserve"> HYPERLINK \l "wg1gk68mo487" </w:instrText>
      </w:r>
      <w:r>
        <w:rPr>
          <w:rStyle w:val="Hyperlink.0"/>
        </w:rPr>
        <w:fldChar w:fldCharType="separate" w:fldLock="0"/>
      </w:r>
      <w:r>
        <w:rPr>
          <w:rStyle w:val="Hyperlink.0"/>
          <w:rtl w:val="0"/>
          <w:lang w:val="en-US"/>
        </w:rPr>
        <w:t>Product Identification</w:t>
      </w:r>
      <w:r>
        <w:rPr/>
        <w:fldChar w:fldCharType="end" w:fldLock="0"/>
      </w:r>
      <w:r>
        <w:rPr>
          <w:rStyle w:val="Hyperlink.0"/>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"f7xm9kfl8lfi" </w:instrText>
      </w:r>
      <w:r>
        <w:rPr>
          <w:rStyle w:val="Hyperlink.1"/>
        </w:rPr>
        <w:fldChar w:fldCharType="separate" w:fldLock="0"/>
      </w:r>
      <w:r>
        <w:rPr>
          <w:rStyle w:val="Hyperlink.1"/>
          <w:rtl w:val="0"/>
          <w:lang w:val="en-US"/>
        </w:rPr>
        <w:t>Product &amp; Product Category</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"zohj0mbmij8" </w:instrText>
      </w:r>
      <w:r>
        <w:rPr>
          <w:rStyle w:val="Hyperlink.1"/>
        </w:rPr>
        <w:fldChar w:fldCharType="separate" w:fldLock="0"/>
      </w:r>
      <w:r>
        <w:rPr>
          <w:rStyle w:val="Hyperlink.1"/>
          <w:rtl w:val="0"/>
          <w:lang w:val="en-US"/>
        </w:rPr>
        <w:t>Product/Brand Findings</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"afcopsmwmmsy" </w:instrText>
      </w:r>
      <w:r>
        <w:rPr>
          <w:rStyle w:val="Hyperlink.1"/>
        </w:rPr>
        <w:fldChar w:fldCharType="separate" w:fldLock="0"/>
      </w:r>
      <w:r>
        <w:rPr>
          <w:rStyle w:val="Hyperlink.1"/>
          <w:rtl w:val="0"/>
          <w:lang w:val="en-US"/>
        </w:rPr>
        <w:t>Loyalty Programs</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"kg0k4aqwps9" </w:instrText>
      </w:r>
      <w:r>
        <w:rPr>
          <w:rStyle w:val="Hyperlink.1"/>
        </w:rPr>
        <w:fldChar w:fldCharType="separate" w:fldLock="0"/>
      </w:r>
      <w:r>
        <w:rPr>
          <w:rStyle w:val="Hyperlink.1"/>
          <w:rtl w:val="0"/>
          <w:lang w:val="en-US"/>
        </w:rPr>
        <w:t>Private Brands</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"vndehia078ia" </w:instrText>
      </w:r>
      <w:r>
        <w:rPr>
          <w:rStyle w:val="Hyperlink.1"/>
        </w:rPr>
        <w:fldChar w:fldCharType="separate" w:fldLock="0"/>
      </w:r>
      <w:r>
        <w:rPr>
          <w:rStyle w:val="Hyperlink.1"/>
          <w:rtl w:val="0"/>
          <w:lang w:val="en-US"/>
        </w:rPr>
        <w:t>Health Expertise</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"lhxy2vxlwr7m" </w:instrText>
      </w:r>
      <w:r>
        <w:rPr>
          <w:rStyle w:val="Hyperlink.1"/>
        </w:rPr>
        <w:fldChar w:fldCharType="separate" w:fldLock="0"/>
      </w:r>
      <w:r>
        <w:rPr>
          <w:rStyle w:val="Hyperlink.1"/>
          <w:rtl w:val="0"/>
        </w:rPr>
        <w:t>Digital Strategies</w:t>
      </w:r>
      <w:r>
        <w:rPr/>
        <w:fldChar w:fldCharType="end" w:fldLock="0"/>
      </w:r>
      <w:r>
        <w:rPr>
          <w:rStyle w:val="Hyperlink.1"/>
          <w:rtl w:val="0"/>
        </w:rPr>
        <w:tab/>
        <w:t>3</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"fbycey6g8ic" </w:instrText>
      </w:r>
      <w:r>
        <w:rPr>
          <w:rStyle w:val="Hyperlink.1"/>
        </w:rPr>
        <w:fldChar w:fldCharType="separate" w:fldLock="0"/>
      </w:r>
      <w:r>
        <w:rPr>
          <w:rStyle w:val="Hyperlink.1"/>
          <w:rtl w:val="0"/>
          <w:lang w:val="en-US"/>
        </w:rPr>
        <w:t>Other Findings</w:t>
      </w:r>
      <w:r>
        <w:rPr/>
        <w:fldChar w:fldCharType="end" w:fldLock="0"/>
      </w:r>
      <w:r>
        <w:rPr>
          <w:rStyle w:val="Hyperlink.1"/>
          <w:rtl w:val="0"/>
        </w:rPr>
        <w:tab/>
        <w:t>5</w:t>
      </w:r>
    </w:p>
    <w:p>
      <w:pPr>
        <w:pStyle w:val="Body"/>
        <w:tabs>
          <w:tab w:val="right" w:pos="9340"/>
        </w:tabs>
        <w:spacing w:before="200" w:line="240" w:lineRule="auto"/>
      </w:pPr>
      <w:r>
        <w:rPr>
          <w:rStyle w:val="Hyperlink.0"/>
        </w:rPr>
        <w:fldChar w:fldCharType="begin" w:fldLock="0"/>
      </w:r>
      <w:r>
        <w:rPr>
          <w:rStyle w:val="Hyperlink.0"/>
        </w:rPr>
        <w:instrText xml:space="preserve"> HYPERLINK \l "ra38p26x2wb" </w:instrText>
      </w:r>
      <w:r>
        <w:rPr>
          <w:rStyle w:val="Hyperlink.0"/>
        </w:rPr>
        <w:fldChar w:fldCharType="separate" w:fldLock="0"/>
      </w:r>
      <w:r>
        <w:rPr>
          <w:rStyle w:val="Hyperlink.0"/>
          <w:rtl w:val="0"/>
          <w:lang w:val="en-US"/>
        </w:rPr>
        <w:t>Current Users/ Target Definition</w:t>
      </w:r>
      <w:r>
        <w:rPr/>
        <w:fldChar w:fldCharType="end" w:fldLock="0"/>
      </w:r>
      <w:r>
        <w:rPr>
          <w:rStyle w:val="Hyperlink.0"/>
          <w:rtl w:val="0"/>
        </w:rPr>
        <w:tab/>
        <w:t>6</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"yhktl3cccyxo" </w:instrText>
      </w:r>
      <w:r>
        <w:rPr>
          <w:rStyle w:val="Hyperlink.1"/>
        </w:rPr>
        <w:fldChar w:fldCharType="separate" w:fldLock="0"/>
      </w:r>
      <w:r>
        <w:rPr>
          <w:rStyle w:val="Hyperlink.1"/>
          <w:rtl w:val="0"/>
          <w:lang w:val="en-US"/>
        </w:rPr>
        <w:t>Demographics</w:t>
      </w:r>
      <w:r>
        <w:rPr/>
        <w:fldChar w:fldCharType="end" w:fldLock="0"/>
      </w:r>
      <w:r>
        <w:rPr>
          <w:rStyle w:val="Hyperlink.1"/>
          <w:rtl w:val="0"/>
        </w:rPr>
        <w:tab/>
        <w:t>6</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"c3ismxjwmzer" </w:instrText>
      </w:r>
      <w:r>
        <w:rPr>
          <w:rStyle w:val="Hyperlink.1"/>
        </w:rPr>
        <w:fldChar w:fldCharType="separate" w:fldLock="0"/>
      </w:r>
      <w:r>
        <w:rPr>
          <w:rStyle w:val="Hyperlink.1"/>
          <w:rtl w:val="0"/>
          <w:lang w:val="en-US"/>
        </w:rPr>
        <w:t>Current Users</w:t>
      </w:r>
      <w:r>
        <w:rPr/>
        <w:fldChar w:fldCharType="end" w:fldLock="0"/>
      </w:r>
      <w:r>
        <w:rPr>
          <w:rStyle w:val="Hyperlink.1"/>
          <w:rtl w:val="0"/>
        </w:rPr>
        <w:tab/>
        <w:t>8</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"bookmark" </w:instrText>
      </w:r>
      <w:r>
        <w:rPr>
          <w:rStyle w:val="Hyperlink.1"/>
        </w:rPr>
        <w:fldChar w:fldCharType="separate" w:fldLock="0"/>
      </w:r>
      <w:r>
        <w:rPr>
          <w:rStyle w:val="Hyperlink.1"/>
          <w:rtl w:val="0"/>
          <w:lang w:val="en-US"/>
        </w:rPr>
        <w:t>Leisure Habits/Personal Characteristics</w:t>
      </w:r>
      <w:r>
        <w:rPr/>
        <w:fldChar w:fldCharType="end" w:fldLock="0"/>
      </w:r>
      <w:r>
        <w:rPr>
          <w:rStyle w:val="Hyperlink.1"/>
          <w:rtl w:val="0"/>
        </w:rPr>
        <w:tab/>
        <w:t>8</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"lbontpqjtw3z" </w:instrText>
      </w:r>
      <w:r>
        <w:rPr>
          <w:rStyle w:val="Hyperlink.1"/>
        </w:rPr>
        <w:fldChar w:fldCharType="separate" w:fldLock="0"/>
      </w:r>
      <w:r>
        <w:rPr>
          <w:rStyle w:val="Hyperlink.1"/>
          <w:rtl w:val="0"/>
          <w:lang w:val="en-US"/>
        </w:rPr>
        <w:t>Day in a Life</w:t>
      </w:r>
      <w:r>
        <w:rPr/>
        <w:fldChar w:fldCharType="end" w:fldLock="0"/>
      </w:r>
      <w:r>
        <w:rPr>
          <w:rStyle w:val="Hyperlink.1"/>
          <w:rtl w:val="0"/>
        </w:rPr>
        <w:tab/>
        <w:t>9</w:t>
      </w:r>
    </w:p>
    <w:p>
      <w:pPr>
        <w:pStyle w:val="Body"/>
        <w:tabs>
          <w:tab w:val="right" w:pos="9340"/>
        </w:tabs>
        <w:spacing w:before="200" w:line="240" w:lineRule="auto"/>
      </w:pPr>
      <w:r>
        <w:rPr>
          <w:rStyle w:val="Hyperlink.0"/>
        </w:rPr>
        <w:fldChar w:fldCharType="begin" w:fldLock="0"/>
      </w:r>
      <w:r>
        <w:rPr>
          <w:rStyle w:val="Hyperlink.0"/>
        </w:rPr>
        <w:instrText xml:space="preserve"> HYPERLINK \l "sat29pxjdo0" </w:instrText>
      </w:r>
      <w:r>
        <w:rPr>
          <w:rStyle w:val="Hyperlink.0"/>
        </w:rPr>
        <w:fldChar w:fldCharType="separate" w:fldLock="0"/>
      </w:r>
      <w:r>
        <w:rPr>
          <w:rStyle w:val="Hyperlink.0"/>
          <w:rtl w:val="0"/>
        </w:rPr>
        <w:t>Media Habits</w:t>
      </w:r>
      <w:r>
        <w:rPr/>
        <w:fldChar w:fldCharType="end" w:fldLock="0"/>
      </w:r>
      <w:r>
        <w:rPr>
          <w:rStyle w:val="Hyperlink.0"/>
          <w:rtl w:val="0"/>
        </w:rPr>
        <w:tab/>
        <w:t>10</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"c5fjqqs30op" </w:instrText>
      </w:r>
      <w:r>
        <w:rPr>
          <w:rStyle w:val="Hyperlink.1"/>
        </w:rPr>
        <w:fldChar w:fldCharType="separate" w:fldLock="0"/>
      </w:r>
      <w:r>
        <w:rPr>
          <w:rStyle w:val="Hyperlink.1"/>
          <w:rtl w:val="0"/>
          <w:lang w:val="en-US"/>
        </w:rPr>
        <w:t>Additional Data</w:t>
      </w:r>
      <w:r>
        <w:rPr/>
        <w:fldChar w:fldCharType="end" w:fldLock="0"/>
      </w:r>
      <w:r>
        <w:rPr>
          <w:rStyle w:val="Hyperlink.1"/>
          <w:rtl w:val="0"/>
        </w:rPr>
        <w:tab/>
        <w:t>11</w:t>
      </w:r>
    </w:p>
    <w:p>
      <w:pPr>
        <w:pStyle w:val="Body"/>
        <w:tabs>
          <w:tab w:val="right" w:pos="9340"/>
        </w:tabs>
        <w:spacing w:before="200" w:line="240" w:lineRule="auto"/>
      </w:pPr>
      <w:r>
        <w:rPr>
          <w:rStyle w:val="Hyperlink.0"/>
        </w:rPr>
        <w:fldChar w:fldCharType="begin" w:fldLock="0"/>
      </w:r>
      <w:r>
        <w:rPr>
          <w:rStyle w:val="Hyperlink.0"/>
        </w:rPr>
        <w:instrText xml:space="preserve"> HYPERLINK \l "l551nn6x8jpz" </w:instrText>
      </w:r>
      <w:r>
        <w:rPr>
          <w:rStyle w:val="Hyperlink.0"/>
        </w:rPr>
        <w:fldChar w:fldCharType="separate" w:fldLock="0"/>
      </w:r>
      <w:r>
        <w:rPr>
          <w:rStyle w:val="Hyperlink.0"/>
          <w:rtl w:val="0"/>
          <w:lang w:val="en-US"/>
        </w:rPr>
        <w:t>Geography</w:t>
      </w:r>
      <w:r>
        <w:rPr/>
        <w:fldChar w:fldCharType="end" w:fldLock="0"/>
      </w:r>
      <w:r>
        <w:rPr>
          <w:rStyle w:val="Hyperlink.0"/>
          <w:rtl w:val="0"/>
        </w:rPr>
        <w:tab/>
        <w:t>12</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"bookmark1" </w:instrText>
      </w:r>
      <w:r>
        <w:rPr>
          <w:rStyle w:val="Hyperlink.1"/>
        </w:rPr>
        <w:fldChar w:fldCharType="separate" w:fldLock="0"/>
      </w:r>
      <w:r>
        <w:rPr>
          <w:rStyle w:val="Hyperlink.1"/>
          <w:rtl w:val="0"/>
          <w:lang w:val="en-US"/>
        </w:rPr>
        <w:t>Geographic Priorities</w:t>
      </w:r>
      <w:r>
        <w:rPr/>
        <w:fldChar w:fldCharType="end" w:fldLock="0"/>
      </w:r>
      <w:r>
        <w:rPr>
          <w:rStyle w:val="Hyperlink.1"/>
          <w:rtl w:val="0"/>
        </w:rPr>
        <w:tab/>
        <w:t>12</w:t>
      </w:r>
    </w:p>
    <w:p>
      <w:pPr>
        <w:pStyle w:val="Body"/>
        <w:tabs>
          <w:tab w:val="right" w:pos="9340"/>
        </w:tabs>
        <w:spacing w:before="60" w:line="240" w:lineRule="auto"/>
        <w:ind w:left="720" w:firstLine="0"/>
      </w:pPr>
      <w:r>
        <w:rPr>
          <w:rStyle w:val="Hyperlink.1"/>
        </w:rPr>
        <w:fldChar w:fldCharType="begin" w:fldLock="0"/>
      </w:r>
      <w:r>
        <w:rPr>
          <w:rStyle w:val="Hyperlink.1"/>
        </w:rPr>
        <w:instrText xml:space="preserve"> HYPERLINK \l "ksnm3pkvjey" </w:instrText>
      </w:r>
      <w:r>
        <w:rPr>
          <w:rStyle w:val="Hyperlink.1"/>
        </w:rPr>
        <w:fldChar w:fldCharType="separate" w:fldLock="0"/>
      </w:r>
      <w:r>
        <w:rPr>
          <w:rStyle w:val="Hyperlink.1"/>
          <w:rtl w:val="0"/>
          <w:lang w:val="en-US"/>
        </w:rPr>
        <w:t>Priority #1: Quebec</w:t>
      </w:r>
      <w:r>
        <w:rPr/>
        <w:fldChar w:fldCharType="end" w:fldLock="0"/>
      </w:r>
      <w:r>
        <w:rPr>
          <w:rStyle w:val="Hyperlink.1"/>
          <w:rtl w:val="0"/>
        </w:rPr>
        <w:tab/>
        <w:t>13</w:t>
      </w:r>
    </w:p>
    <w:p>
      <w:pPr>
        <w:pStyle w:val="Body"/>
        <w:tabs>
          <w:tab w:val="right" w:pos="9340"/>
        </w:tabs>
        <w:spacing w:before="60" w:line="240" w:lineRule="auto"/>
        <w:ind w:left="720" w:firstLine="0"/>
      </w:pPr>
      <w:r>
        <w:rPr>
          <w:rStyle w:val="Hyperlink.1"/>
        </w:rPr>
        <w:fldChar w:fldCharType="begin" w:fldLock="0"/>
      </w:r>
      <w:r>
        <w:rPr>
          <w:rStyle w:val="Hyperlink.1"/>
        </w:rPr>
        <w:instrText xml:space="preserve"> HYPERLINK \l "z5bhiqx8mt" </w:instrText>
      </w:r>
      <w:r>
        <w:rPr>
          <w:rStyle w:val="Hyperlink.1"/>
        </w:rPr>
        <w:fldChar w:fldCharType="separate" w:fldLock="0"/>
      </w:r>
      <w:r>
        <w:rPr>
          <w:rStyle w:val="Hyperlink.1"/>
          <w:rtl w:val="0"/>
          <w:lang w:val="en-US"/>
        </w:rPr>
        <w:t>Priority #2: Ontario</w:t>
      </w:r>
      <w:r>
        <w:rPr/>
        <w:fldChar w:fldCharType="end" w:fldLock="0"/>
      </w:r>
      <w:r>
        <w:rPr>
          <w:rStyle w:val="Hyperlink.1"/>
          <w:rtl w:val="0"/>
        </w:rPr>
        <w:tab/>
        <w:t>13</w:t>
      </w:r>
    </w:p>
    <w:p>
      <w:pPr>
        <w:pStyle w:val="Body"/>
        <w:tabs>
          <w:tab w:val="right" w:pos="9340"/>
        </w:tabs>
        <w:spacing w:before="200" w:line="240" w:lineRule="auto"/>
      </w:pPr>
      <w:r>
        <w:rPr>
          <w:rStyle w:val="Hyperlink.0"/>
        </w:rPr>
        <w:fldChar w:fldCharType="begin" w:fldLock="0"/>
      </w:r>
      <w:r>
        <w:rPr>
          <w:rStyle w:val="Hyperlink.0"/>
        </w:rPr>
        <w:instrText xml:space="preserve"> HYPERLINK \l "gr8rt431lrzv" </w:instrText>
      </w:r>
      <w:r>
        <w:rPr>
          <w:rStyle w:val="Hyperlink.0"/>
        </w:rPr>
        <w:fldChar w:fldCharType="separate" w:fldLock="0"/>
      </w:r>
      <w:r>
        <w:rPr>
          <w:rStyle w:val="Hyperlink.0"/>
          <w:rtl w:val="0"/>
          <w:lang w:val="en-US"/>
        </w:rPr>
        <w:t>Seasonality</w:t>
      </w:r>
      <w:r>
        <w:rPr/>
        <w:fldChar w:fldCharType="end" w:fldLock="0"/>
      </w:r>
      <w:r>
        <w:rPr>
          <w:rStyle w:val="Hyperlink.0"/>
          <w:rtl w:val="0"/>
        </w:rPr>
        <w:tab/>
        <w:t>13</w:t>
      </w:r>
    </w:p>
    <w:p>
      <w:pPr>
        <w:pStyle w:val="Body"/>
        <w:tabs>
          <w:tab w:val="right" w:pos="9340"/>
        </w:tabs>
        <w:spacing w:before="200" w:line="240" w:lineRule="auto"/>
      </w:pPr>
      <w:r>
        <w:rPr>
          <w:rStyle w:val="Hyperlink.0"/>
        </w:rPr>
        <w:fldChar w:fldCharType="begin" w:fldLock="0"/>
      </w:r>
      <w:r>
        <w:rPr>
          <w:rStyle w:val="Hyperlink.0"/>
        </w:rPr>
        <w:instrText xml:space="preserve"> HYPERLINK \l "u1nldn8kbwf7" </w:instrText>
      </w:r>
      <w:r>
        <w:rPr>
          <w:rStyle w:val="Hyperlink.0"/>
        </w:rPr>
        <w:fldChar w:fldCharType="separate" w:fldLock="0"/>
      </w:r>
      <w:r>
        <w:rPr>
          <w:rStyle w:val="Hyperlink.0"/>
          <w:rtl w:val="0"/>
          <w:lang w:val="en-US"/>
        </w:rPr>
        <w:t>Competition</w:t>
      </w:r>
      <w:r>
        <w:rPr/>
        <w:fldChar w:fldCharType="end" w:fldLock="0"/>
      </w:r>
      <w:r>
        <w:rPr>
          <w:rStyle w:val="Hyperlink.0"/>
          <w:rtl w:val="0"/>
        </w:rPr>
        <w:tab/>
        <w:t>14</w:t>
      </w:r>
    </w:p>
    <w:p>
      <w:pPr>
        <w:pStyle w:val="Body"/>
        <w:tabs>
          <w:tab w:val="right" w:pos="9340"/>
        </w:tabs>
        <w:spacing w:before="60" w:line="240" w:lineRule="auto"/>
        <w:ind w:left="360" w:firstLine="0"/>
      </w:pPr>
      <w:r>
        <w:rPr>
          <w:rStyle w:val="Hyperlink.1"/>
        </w:rPr>
        <w:fldChar w:fldCharType="begin" w:fldLock="0"/>
      </w:r>
      <w:r>
        <w:rPr>
          <w:rStyle w:val="Hyperlink.1"/>
        </w:rPr>
        <w:instrText xml:space="preserve"> HYPERLINK \l "reao5st279i2" </w:instrText>
      </w:r>
      <w:r>
        <w:rPr>
          <w:rStyle w:val="Hyperlink.1"/>
        </w:rPr>
        <w:fldChar w:fldCharType="separate" w:fldLock="0"/>
      </w:r>
      <w:r>
        <w:rPr>
          <w:rStyle w:val="Hyperlink.1"/>
          <w:rtl w:val="0"/>
          <w:lang w:val="en-US"/>
        </w:rPr>
        <w:t>Promotions From Competitors</w:t>
      </w:r>
      <w:r>
        <w:rPr/>
        <w:fldChar w:fldCharType="end" w:fldLock="0"/>
      </w:r>
      <w:r>
        <w:rPr>
          <w:rStyle w:val="Hyperlink.1"/>
          <w:rtl w:val="0"/>
        </w:rPr>
        <w:tab/>
        <w:t>15</w:t>
      </w:r>
    </w:p>
    <w:p>
      <w:pPr>
        <w:pStyle w:val="Body"/>
        <w:tabs>
          <w:tab w:val="right" w:pos="9340"/>
        </w:tabs>
        <w:spacing w:before="200" w:after="80" w:line="240" w:lineRule="auto"/>
      </w:pPr>
      <w:r>
        <w:rPr>
          <w:rStyle w:val="Hyperlink.0"/>
        </w:rPr>
        <w:fldChar w:fldCharType="begin" w:fldLock="0"/>
      </w:r>
      <w:r>
        <w:rPr>
          <w:rStyle w:val="Hyperlink.0"/>
        </w:rPr>
        <w:instrText xml:space="preserve"> HYPERLINK \l "idghvdh0qrk" </w:instrText>
      </w:r>
      <w:r>
        <w:rPr>
          <w:rStyle w:val="Hyperlink.0"/>
        </w:rPr>
        <w:fldChar w:fldCharType="separate" w:fldLock="0"/>
      </w:r>
      <w:r>
        <w:rPr>
          <w:rStyle w:val="Hyperlink.0"/>
          <w:rtl w:val="0"/>
          <w:lang w:val="fr-FR"/>
        </w:rPr>
        <w:t>Citations</w:t>
      </w:r>
      <w:r>
        <w:rPr/>
        <w:fldChar w:fldCharType="end" w:fldLock="0"/>
      </w:r>
      <w:r>
        <w:rPr>
          <w:rStyle w:val="Hyperlink.0"/>
          <w:rtl w:val="0"/>
        </w:rPr>
        <w:tab/>
        <w:t>17</w:t>
      </w:r>
    </w:p>
    <w:p>
      <w:pPr>
        <w:pStyle w:val="Body"/>
        <w:rPr>
          <w:rStyle w:val="None"/>
          <w:b w:val="1"/>
          <w:bCs w:val="1"/>
        </w:rPr>
      </w:pPr>
    </w:p>
    <w:p>
      <w:pPr>
        <w:pStyle w:val="Body"/>
        <w:rPr>
          <w:rStyle w:val="None"/>
          <w:b w:val="1"/>
          <w:bCs w:val="1"/>
        </w:rPr>
      </w:pPr>
    </w:p>
    <w:p>
      <w:pPr>
        <w:pStyle w:val="Body"/>
      </w:pPr>
      <w:r>
        <w:rPr>
          <w:rStyle w:val="Hyperlink.1"/>
          <w:rFonts w:ascii="Arial Unicode MS" w:cs="Arial Unicode MS" w:hAnsi="Arial Unicode MS" w:eastAsia="Arial Unicode MS"/>
          <w:b w:val="0"/>
          <w:bCs w:val="0"/>
          <w:i w:val="0"/>
          <w:iCs w:val="0"/>
        </w:rPr>
        <w:br w:type="page"/>
      </w:r>
    </w:p>
    <w:p>
      <w:pPr>
        <w:pStyle w:val="Body"/>
      </w:pPr>
      <w:r>
        <w:rPr>
          <w:rStyle w:val="Hyperlink.0"/>
          <w:rtl w:val="0"/>
          <w:lang w:val="fr-FR"/>
        </w:rPr>
        <w:t>Client</w:t>
      </w:r>
      <w:r>
        <w:rPr>
          <w:rStyle w:val="Hyperlink.1"/>
          <w:rtl w:val="0"/>
          <w:lang w:val="en-US"/>
        </w:rPr>
        <w:t>: Loblaws</w:t>
      </w:r>
    </w:p>
    <w:p>
      <w:pPr>
        <w:pStyle w:val="Body"/>
      </w:pPr>
      <w:r>
        <w:rPr>
          <w:rStyle w:val="Hyperlink.0"/>
          <w:rtl w:val="0"/>
          <w:lang w:val="en-US"/>
        </w:rPr>
        <w:t>Product</w:t>
      </w:r>
      <w:r>
        <w:rPr>
          <w:rStyle w:val="Hyperlink.1"/>
          <w:rtl w:val="0"/>
          <w:lang w:val="en-US"/>
        </w:rPr>
        <w:t>: Loblaws</w:t>
      </w:r>
    </w:p>
    <w:p>
      <w:pPr>
        <w:pStyle w:val="Body"/>
      </w:pPr>
      <w:r>
        <w:rPr>
          <w:rStyle w:val="Hyperlink.0"/>
          <w:rtl w:val="0"/>
          <w:lang w:val="en-US"/>
        </w:rPr>
        <w:t>Group Members</w:t>
      </w:r>
      <w:r>
        <w:rPr>
          <w:rStyle w:val="Hyperlink.1"/>
          <w:rtl w:val="0"/>
          <w:lang w:val="it-IT"/>
        </w:rPr>
        <w:t>: Sofia Romualdez</w:t>
      </w:r>
    </w:p>
    <w:p>
      <w:pPr>
        <w:pStyle w:val="Body"/>
      </w:pPr>
      <w:r>
        <w:rPr>
          <w:rStyle w:val="Hyperlink.1"/>
          <w:rtl w:val="0"/>
          <w:lang w:val="de-DE"/>
        </w:rPr>
        <w:tab/>
        <w:tab/>
        <w:t xml:space="preserve">      Alex Guerrero</w:t>
      </w:r>
    </w:p>
    <w:p>
      <w:pPr>
        <w:pStyle w:val="Body"/>
      </w:pPr>
      <w:r>
        <w:rPr>
          <w:rStyle w:val="Hyperlink.1"/>
          <w:rtl w:val="0"/>
          <w:lang w:val="de-DE"/>
        </w:rPr>
        <w:tab/>
        <w:tab/>
        <w:t xml:space="preserve">      Jerome Arcangel</w:t>
      </w:r>
    </w:p>
    <w:p>
      <w:pPr>
        <w:pStyle w:val="Body"/>
      </w:pPr>
      <w:r>
        <w:rPr>
          <w:rStyle w:val="Hyperlink.0"/>
          <w:rtl w:val="0"/>
          <w:lang w:val="es-ES_tradnl"/>
        </w:rPr>
        <w:t>Instructor</w:t>
      </w:r>
      <w:r>
        <w:rPr>
          <w:rStyle w:val="Hyperlink.1"/>
          <w:rtl w:val="0"/>
        </w:rPr>
        <w:t>: Colin Robey</w:t>
      </w:r>
    </w:p>
    <w:p>
      <w:pPr>
        <w:pStyle w:val="Body"/>
      </w:pPr>
      <w:r>
        <w:rPr>
          <w:rStyle w:val="Hyperlink.1"/>
          <w:rtl w:val="0"/>
          <w:lang w:val="en-US"/>
        </w:rPr>
        <w:t>____________________________________________________________________________</w:t>
      </w:r>
    </w:p>
    <w:p>
      <w:pPr>
        <w:pStyle w:val="Heading 2"/>
        <w:rPr>
          <w:rStyle w:val="Hyperlink.0"/>
        </w:rPr>
      </w:pPr>
      <w:bookmarkStart w:name="_wg1gk68mo487" w:id="0"/>
      <w:bookmarkEnd w:id="0"/>
      <w:r>
        <w:rPr>
          <w:rStyle w:val="Hyperlink.0"/>
          <w:rFonts w:cs="Arial Unicode MS" w:eastAsia="Arial Unicode MS"/>
          <w:rtl w:val="0"/>
        </w:rPr>
        <w:t>P</w:t>
      </w:r>
      <w:r>
        <w:rPr>
          <w:rStyle w:val="Hyperlink.0"/>
          <w:rFonts w:cs="Arial Unicode MS" w:eastAsia="Arial Unicode MS"/>
          <w:rtl w:val="0"/>
          <w:lang w:val="en-US"/>
        </w:rPr>
        <w:t>roduct Identification</w:t>
      </w:r>
    </w:p>
    <w:p>
      <w:pPr>
        <w:pStyle w:val="Heading 3"/>
        <w:rPr>
          <w:rStyle w:val="None"/>
          <w:u w:val="single"/>
        </w:rPr>
      </w:pPr>
      <w:bookmarkStart w:name="_f7xm9kfl8lfi" w:id="1"/>
      <w:bookmarkEnd w:id="1"/>
      <w:r>
        <w:rPr>
          <w:rStyle w:val="None"/>
          <w:rFonts w:cs="Arial Unicode MS" w:eastAsia="Arial Unicode MS"/>
          <w:u w:val="single"/>
          <w:rtl w:val="0"/>
        </w:rPr>
        <w:t>P</w:t>
      </w:r>
      <w:r>
        <w:rPr>
          <w:rStyle w:val="None"/>
          <w:rFonts w:cs="Arial Unicode MS" w:eastAsia="Arial Unicode MS"/>
          <w:u w:val="single"/>
          <w:rtl w:val="0"/>
          <w:lang w:val="en-US"/>
        </w:rPr>
        <w:t xml:space="preserve">roduct &amp; Product Category </w:t>
      </w:r>
    </w:p>
    <w:p>
      <w:pPr>
        <w:pStyle w:val="Body"/>
      </w:pPr>
      <w:r>
        <w:rPr>
          <w:rStyle w:val="None"/>
          <w:u w:val="single"/>
          <w:rtl w:val="0"/>
          <w:lang w:val="en-US"/>
        </w:rPr>
        <w:t>Loblaws</w:t>
      </w:r>
      <w:r>
        <w:rPr>
          <w:rStyle w:val="Hyperlink.1"/>
          <w:rtl w:val="0"/>
          <w:lang w:val="en-US"/>
        </w:rPr>
        <w:t xml:space="preserve"> is a Canadian grocery chain that is known for their own personal brands like </w:t>
      </w:r>
      <w:r>
        <w:rPr>
          <w:rStyle w:val="None"/>
          <w:u w:val="single"/>
          <w:rtl w:val="0"/>
          <w:lang w:val="en-US"/>
        </w:rPr>
        <w:t>Joe Fresh</w:t>
      </w:r>
      <w:r>
        <w:rPr>
          <w:rStyle w:val="Hyperlink.1"/>
          <w:rtl w:val="0"/>
        </w:rPr>
        <w:t xml:space="preserve">, </w:t>
      </w:r>
      <w:r>
        <w:rPr>
          <w:rStyle w:val="None"/>
          <w:u w:val="single"/>
          <w:rtl w:val="0"/>
          <w:lang w:val="it-IT"/>
        </w:rPr>
        <w:t>President</w:t>
      </w:r>
      <w:r>
        <w:rPr>
          <w:rStyle w:val="None"/>
          <w:u w:val="single"/>
          <w:rtl w:val="1"/>
        </w:rPr>
        <w:t>’</w:t>
      </w:r>
      <w:r>
        <w:rPr>
          <w:rStyle w:val="None"/>
          <w:u w:val="single"/>
          <w:rtl w:val="0"/>
          <w:lang w:val="en-US"/>
        </w:rPr>
        <w:t>s Choice</w:t>
      </w:r>
      <w:r>
        <w:rPr>
          <w:rStyle w:val="Hyperlink.1"/>
          <w:rtl w:val="0"/>
        </w:rPr>
        <w:t xml:space="preserve">, </w:t>
      </w:r>
      <w:r>
        <w:rPr>
          <w:rStyle w:val="None"/>
          <w:u w:val="single"/>
          <w:rtl w:val="0"/>
        </w:rPr>
        <w:t>no name</w:t>
      </w:r>
      <w:r>
        <w:rPr>
          <w:rStyle w:val="Hyperlink.1"/>
          <w:rtl w:val="0"/>
          <w:lang w:val="en-US"/>
        </w:rPr>
        <w:t xml:space="preserve">, and </w:t>
      </w:r>
      <w:r>
        <w:rPr>
          <w:rStyle w:val="None"/>
          <w:u w:val="single"/>
          <w:rtl w:val="0"/>
          <w:lang w:val="en-US"/>
        </w:rPr>
        <w:t>Life Brand</w:t>
      </w:r>
      <w:r>
        <w:rPr>
          <w:rStyle w:val="Hyperlink.1"/>
          <w:rtl w:val="0"/>
        </w:rPr>
        <w:t xml:space="preserve">. </w:t>
      </w:r>
    </w:p>
    <w:p>
      <w:pPr>
        <w:pStyle w:val="Heading 3"/>
        <w:rPr>
          <w:rStyle w:val="None"/>
          <w:u w:val="single"/>
        </w:rPr>
      </w:pPr>
      <w:bookmarkStart w:name="_zohj0mbmij8" w:id="2"/>
      <w:bookmarkEnd w:id="2"/>
      <w:r>
        <w:rPr>
          <w:rStyle w:val="None"/>
          <w:rFonts w:cs="Arial Unicode MS" w:eastAsia="Arial Unicode MS"/>
          <w:u w:val="single"/>
          <w:rtl w:val="0"/>
        </w:rPr>
        <w:t>P</w:t>
      </w:r>
      <w:r>
        <w:rPr>
          <w:rStyle w:val="None"/>
          <w:rFonts w:cs="Arial Unicode MS" w:eastAsia="Arial Unicode MS"/>
          <w:u w:val="single"/>
          <w:rtl w:val="0"/>
          <w:lang w:val="en-US"/>
        </w:rPr>
        <w:t>roduct/Brand Findings</w:t>
      </w:r>
    </w:p>
    <w:p>
      <w:pPr>
        <w:pStyle w:val="Heading 3"/>
        <w:rPr>
          <w:rStyle w:val="None"/>
          <w:u w:val="single"/>
        </w:rPr>
      </w:pPr>
      <w:bookmarkStart w:name="_afcopsmwmmsy" w:id="3"/>
      <w:bookmarkEnd w:id="3"/>
      <w:r>
        <w:rPr>
          <w:rStyle w:val="None"/>
          <w:rFonts w:cs="Arial Unicode MS" w:eastAsia="Arial Unicode MS"/>
          <w:u w:val="single"/>
          <w:rtl w:val="0"/>
        </w:rPr>
        <w:t>L</w:t>
      </w:r>
      <w:r>
        <w:rPr>
          <w:rStyle w:val="None"/>
          <w:rFonts w:cs="Arial Unicode MS" w:eastAsia="Arial Unicode MS"/>
          <w:u w:val="single"/>
          <w:rtl w:val="0"/>
          <w:lang w:val="en-US"/>
        </w:rPr>
        <w:t>oyalty Programs</w:t>
      </w:r>
    </w:p>
    <w:p>
      <w:pPr>
        <w:pStyle w:val="Body"/>
      </w:pPr>
      <w:r>
        <w:rPr>
          <w:rStyle w:val="None"/>
          <w:u w:val="single"/>
          <w:rtl w:val="0"/>
          <w:lang w:val="fr-FR"/>
        </w:rPr>
        <w:t>PC Plus</w:t>
      </w:r>
      <w:r>
        <w:rPr>
          <w:rStyle w:val="Hyperlink.1"/>
          <w:rtl w:val="0"/>
          <w:lang w:val="en-US"/>
        </w:rPr>
        <w:t xml:space="preserve"> and </w:t>
      </w:r>
      <w:r>
        <w:rPr>
          <w:rStyle w:val="None"/>
          <w:u w:val="single"/>
          <w:rtl w:val="0"/>
          <w:lang w:val="en-US"/>
        </w:rPr>
        <w:t>Shoppers Optimum</w:t>
      </w:r>
      <w:r>
        <w:rPr>
          <w:rStyle w:val="Hyperlink.1"/>
          <w:rtl w:val="0"/>
          <w:lang w:val="en-US"/>
        </w:rPr>
        <w:t xml:space="preserve"> were two of Canada</w:t>
      </w:r>
      <w:r>
        <w:rPr>
          <w:rStyle w:val="Hyperlink.1"/>
          <w:rtl w:val="1"/>
        </w:rPr>
        <w:t>’</w:t>
      </w:r>
      <w:r>
        <w:rPr>
          <w:rStyle w:val="Hyperlink.1"/>
          <w:rtl w:val="0"/>
          <w:lang w:val="en-US"/>
        </w:rPr>
        <w:t xml:space="preserve">s most successful loyalty programs. The merging of </w:t>
      </w:r>
      <w:r>
        <w:rPr>
          <w:rStyle w:val="None"/>
          <w:u w:val="single"/>
          <w:rtl w:val="0"/>
          <w:lang w:val="nl-NL"/>
        </w:rPr>
        <w:t>Shoppers Drug Mart</w:t>
      </w:r>
      <w:r>
        <w:rPr>
          <w:rStyle w:val="Hyperlink.1"/>
          <w:rtl w:val="0"/>
          <w:lang w:val="en-US"/>
        </w:rPr>
        <w:t xml:space="preserve"> and </w:t>
      </w:r>
      <w:r>
        <w:rPr>
          <w:rStyle w:val="None"/>
          <w:u w:val="single"/>
          <w:rtl w:val="0"/>
          <w:lang w:val="en-US"/>
        </w:rPr>
        <w:t>Loblaws</w:t>
      </w:r>
      <w:r>
        <w:rPr>
          <w:rStyle w:val="Hyperlink.1"/>
          <w:rtl w:val="0"/>
          <w:lang w:val="en-US"/>
        </w:rPr>
        <w:t xml:space="preserve"> provides the </w:t>
      </w:r>
      <w:r>
        <w:rPr>
          <w:rStyle w:val="None"/>
          <w:u w:val="single"/>
          <w:rtl w:val="0"/>
          <w:lang w:val="en-US"/>
        </w:rPr>
        <w:t>Loblaws</w:t>
      </w:r>
      <w:r>
        <w:rPr>
          <w:rStyle w:val="Hyperlink.1"/>
          <w:rtl w:val="0"/>
          <w:lang w:val="en-US"/>
        </w:rPr>
        <w:t xml:space="preserve"> company to capitalize on the success of both the brand</w:t>
      </w:r>
      <w:r>
        <w:rPr>
          <w:rStyle w:val="Hyperlink.1"/>
          <w:rtl w:val="1"/>
        </w:rPr>
        <w:t>’</w:t>
      </w:r>
      <w:r>
        <w:rPr>
          <w:rStyle w:val="Hyperlink.1"/>
          <w:rtl w:val="0"/>
          <w:lang w:val="en-US"/>
        </w:rPr>
        <w:t xml:space="preserve">s personal loyalty card, as well as the </w:t>
      </w:r>
      <w:r>
        <w:rPr>
          <w:rStyle w:val="None"/>
          <w:u w:val="single"/>
          <w:rtl w:val="0"/>
          <w:lang w:val="en-US"/>
        </w:rPr>
        <w:t>Shoppers Optimum</w:t>
      </w:r>
      <w:r>
        <w:rPr>
          <w:rStyle w:val="Hyperlink.1"/>
          <w:rtl w:val="0"/>
          <w:lang w:val="it-IT"/>
        </w:rPr>
        <w:t xml:space="preserve"> card (Euromonitor, 2018).</w:t>
      </w:r>
    </w:p>
    <w:p>
      <w:pPr>
        <w:pStyle w:val="Heading 3"/>
        <w:rPr>
          <w:rStyle w:val="None"/>
          <w:u w:val="single"/>
        </w:rPr>
      </w:pPr>
      <w:bookmarkStart w:name="_kg0k4aqwps9" w:id="4"/>
      <w:bookmarkEnd w:id="4"/>
      <w:r>
        <w:rPr>
          <w:rStyle w:val="None"/>
          <w:rFonts w:cs="Arial Unicode MS" w:eastAsia="Arial Unicode MS"/>
          <w:u w:val="single"/>
          <w:rtl w:val="0"/>
        </w:rPr>
        <w:t>P</w:t>
      </w:r>
      <w:r>
        <w:rPr>
          <w:rStyle w:val="None"/>
          <w:rFonts w:cs="Arial Unicode MS" w:eastAsia="Arial Unicode MS"/>
          <w:u w:val="single"/>
          <w:rtl w:val="0"/>
          <w:lang w:val="en-US"/>
        </w:rPr>
        <w:t>rivate Brands</w:t>
      </w:r>
    </w:p>
    <w:p>
      <w:pPr>
        <w:pStyle w:val="Body"/>
      </w:pPr>
      <w:r>
        <w:rPr>
          <w:rStyle w:val="None"/>
          <w:u w:val="single"/>
          <w:rtl w:val="0"/>
          <w:lang w:val="en-US"/>
        </w:rPr>
        <w:t>Loblaws</w:t>
      </w:r>
      <w:r>
        <w:rPr>
          <w:rStyle w:val="Hyperlink.1"/>
          <w:rtl w:val="0"/>
          <w:lang w:val="en-US"/>
        </w:rPr>
        <w:t xml:space="preserve"> is famous for their lines of private labels, the notable ones being the </w:t>
      </w:r>
      <w:r>
        <w:rPr>
          <w:rStyle w:val="None"/>
          <w:u w:val="single"/>
          <w:rtl w:val="0"/>
        </w:rPr>
        <w:t>no name</w:t>
      </w:r>
      <w:r>
        <w:rPr>
          <w:rStyle w:val="Hyperlink.1"/>
          <w:rtl w:val="0"/>
          <w:lang w:val="en-US"/>
        </w:rPr>
        <w:t xml:space="preserve"> brand and the </w:t>
      </w:r>
      <w:r>
        <w:rPr>
          <w:rStyle w:val="None"/>
          <w:u w:val="single"/>
          <w:rtl w:val="0"/>
          <w:lang w:val="it-IT"/>
        </w:rPr>
        <w:t>President</w:t>
      </w:r>
      <w:r>
        <w:rPr>
          <w:rStyle w:val="None"/>
          <w:u w:val="single"/>
          <w:rtl w:val="1"/>
        </w:rPr>
        <w:t>’</w:t>
      </w:r>
      <w:r>
        <w:rPr>
          <w:rStyle w:val="None"/>
          <w:u w:val="single"/>
          <w:rtl w:val="0"/>
          <w:lang w:val="en-US"/>
        </w:rPr>
        <w:t>s Choice</w:t>
      </w:r>
      <w:r>
        <w:rPr>
          <w:rStyle w:val="Hyperlink.1"/>
          <w:rtl w:val="0"/>
        </w:rPr>
        <w:t xml:space="preserve"> brand. </w:t>
      </w:r>
      <w:r>
        <w:rPr>
          <w:rStyle w:val="None"/>
          <w:u w:val="single"/>
          <w:rtl w:val="0"/>
          <w:lang w:val="it-IT"/>
        </w:rPr>
        <w:t>President</w:t>
      </w:r>
      <w:r>
        <w:rPr>
          <w:rStyle w:val="None"/>
          <w:u w:val="single"/>
          <w:rtl w:val="1"/>
        </w:rPr>
        <w:t>’</w:t>
      </w:r>
      <w:r>
        <w:rPr>
          <w:rStyle w:val="None"/>
          <w:u w:val="single"/>
          <w:rtl w:val="0"/>
          <w:lang w:val="en-US"/>
        </w:rPr>
        <w:t>s Choice</w:t>
      </w:r>
      <w:r>
        <w:rPr>
          <w:rStyle w:val="Hyperlink.1"/>
          <w:rtl w:val="0"/>
          <w:lang w:val="en-US"/>
        </w:rPr>
        <w:t xml:space="preserve"> is one of Canada</w:t>
      </w:r>
      <w:r>
        <w:rPr>
          <w:rStyle w:val="Hyperlink.1"/>
          <w:rtl w:val="1"/>
        </w:rPr>
        <w:t>’</w:t>
      </w:r>
      <w:r>
        <w:rPr>
          <w:rStyle w:val="Hyperlink.1"/>
          <w:rtl w:val="0"/>
          <w:lang w:val="en-US"/>
        </w:rPr>
        <w:t>s most successful private labels and offers customers a premium food option across a wide range of food types and categories. The private brand offers a large array of product lines in order to enter the different food market categories (Euromonitor, 2018).</w:t>
      </w:r>
    </w:p>
    <w:p>
      <w:pPr>
        <w:pStyle w:val="Heading 3"/>
        <w:rPr>
          <w:rStyle w:val="None"/>
          <w:u w:val="single"/>
        </w:rPr>
      </w:pPr>
      <w:bookmarkStart w:name="_vndehia078ia" w:id="5"/>
      <w:bookmarkEnd w:id="5"/>
      <w:r>
        <w:rPr>
          <w:rStyle w:val="None"/>
          <w:rFonts w:cs="Arial Unicode MS" w:eastAsia="Arial Unicode MS"/>
          <w:u w:val="single"/>
          <w:rtl w:val="0"/>
        </w:rPr>
        <w:t>H</w:t>
      </w:r>
      <w:r>
        <w:rPr>
          <w:rStyle w:val="None"/>
          <w:rFonts w:cs="Arial Unicode MS" w:eastAsia="Arial Unicode MS"/>
          <w:u w:val="single"/>
          <w:rtl w:val="0"/>
          <w:lang w:val="en-US"/>
        </w:rPr>
        <w:t>ealth Expertise</w:t>
      </w:r>
    </w:p>
    <w:p>
      <w:pPr>
        <w:pStyle w:val="Body"/>
      </w:pPr>
      <w:r>
        <w:rPr>
          <w:rStyle w:val="Hyperlink.1"/>
          <w:rtl w:val="0"/>
          <w:lang w:val="en-US"/>
        </w:rPr>
        <w:t xml:space="preserve">Through the merger between </w:t>
      </w:r>
      <w:r>
        <w:rPr>
          <w:rStyle w:val="None"/>
          <w:u w:val="single"/>
          <w:rtl w:val="0"/>
          <w:lang w:val="nl-NL"/>
        </w:rPr>
        <w:t>Shoppers Drug Mart</w:t>
      </w:r>
      <w:r>
        <w:rPr>
          <w:rStyle w:val="Hyperlink.1"/>
          <w:rtl w:val="0"/>
          <w:lang w:val="en-US"/>
        </w:rPr>
        <w:t xml:space="preserve"> into the </w:t>
      </w:r>
      <w:r>
        <w:rPr>
          <w:rStyle w:val="None"/>
          <w:u w:val="single"/>
          <w:rtl w:val="0"/>
          <w:lang w:val="en-US"/>
        </w:rPr>
        <w:t>Loblaws</w:t>
      </w:r>
      <w:r>
        <w:rPr>
          <w:rStyle w:val="Hyperlink.1"/>
          <w:rtl w:val="0"/>
          <w:lang w:val="fr-FR"/>
        </w:rPr>
        <w:t xml:space="preserve"> group, </w:t>
      </w:r>
      <w:r>
        <w:rPr>
          <w:rStyle w:val="None"/>
          <w:u w:val="single"/>
          <w:rtl w:val="0"/>
          <w:lang w:val="en-US"/>
        </w:rPr>
        <w:t>Loblaws</w:t>
      </w:r>
      <w:r>
        <w:rPr>
          <w:rStyle w:val="Hyperlink.1"/>
          <w:rtl w:val="0"/>
          <w:lang w:val="en-US"/>
        </w:rPr>
        <w:t xml:space="preserve"> has invested a significant amount of money to improve their health retail lines. The investments into optical services and wellness stations helps gear the company towards older consumers, and helps put more focus on other health related categories as well (Euromonitor, 2018).</w:t>
      </w:r>
    </w:p>
    <w:p>
      <w:pPr>
        <w:pStyle w:val="Heading 3"/>
        <w:rPr>
          <w:rStyle w:val="None"/>
          <w:u w:val="single"/>
        </w:rPr>
      </w:pPr>
      <w:bookmarkStart w:name="_lhxy2vxlwr7m" w:id="6"/>
      <w:bookmarkEnd w:id="6"/>
      <w:r>
        <w:rPr>
          <w:rStyle w:val="None"/>
          <w:rFonts w:cs="Arial Unicode MS" w:eastAsia="Arial Unicode MS"/>
          <w:u w:val="single"/>
          <w:rtl w:val="0"/>
        </w:rPr>
        <w:t>D</w:t>
      </w:r>
      <w:r>
        <w:rPr>
          <w:rStyle w:val="None"/>
          <w:rFonts w:cs="Arial Unicode MS" w:eastAsia="Arial Unicode MS"/>
          <w:u w:val="single"/>
          <w:rtl w:val="0"/>
          <w:lang w:val="de-DE"/>
        </w:rPr>
        <w:t>igital Strategies</w:t>
      </w:r>
    </w:p>
    <w:p>
      <w:pPr>
        <w:pStyle w:val="Body"/>
      </w:pPr>
      <w:r>
        <w:rPr>
          <w:rStyle w:val="None"/>
          <w:u w:val="single"/>
          <w:rtl w:val="0"/>
          <w:lang w:val="en-US"/>
        </w:rPr>
        <w:t>Loblaws</w:t>
      </w:r>
      <w:r>
        <w:rPr>
          <w:rStyle w:val="Hyperlink.1"/>
          <w:rtl w:val="0"/>
          <w:lang w:val="en-US"/>
        </w:rPr>
        <w:t xml:space="preserve"> has been investing more into digital channels and into grocery ecommerce. It currently operates five online shopping platforms: </w:t>
      </w:r>
      <w:r>
        <w:rPr>
          <w:rStyle w:val="None"/>
          <w:u w:val="single"/>
          <w:rtl w:val="0"/>
          <w:lang w:val="en-US"/>
        </w:rPr>
        <w:t>BeautyBOUTIQUE.ca</w:t>
      </w:r>
      <w:r>
        <w:rPr>
          <w:rStyle w:val="Hyperlink.1"/>
          <w:rtl w:val="0"/>
        </w:rPr>
        <w:t xml:space="preserve">, </w:t>
      </w:r>
      <w:r>
        <w:rPr>
          <w:rStyle w:val="None"/>
          <w:u w:val="single"/>
          <w:rtl w:val="0"/>
        </w:rPr>
        <w:t>JoeFresh.ca</w:t>
      </w:r>
      <w:r>
        <w:rPr>
          <w:rStyle w:val="Hyperlink.1"/>
          <w:rtl w:val="0"/>
        </w:rPr>
        <w:t xml:space="preserve">, </w:t>
      </w:r>
      <w:r>
        <w:rPr>
          <w:rStyle w:val="None"/>
          <w:u w:val="single"/>
          <w:rtl w:val="0"/>
        </w:rPr>
        <w:t>mypharmacy.shoppersdrugmart.ca</w:t>
      </w:r>
      <w:r>
        <w:rPr>
          <w:rStyle w:val="Hyperlink.1"/>
          <w:rtl w:val="0"/>
        </w:rPr>
        <w:t xml:space="preserve">, </w:t>
      </w:r>
      <w:r>
        <w:rPr>
          <w:rStyle w:val="None"/>
          <w:u w:val="single"/>
          <w:rtl w:val="0"/>
          <w:lang w:val="en-US"/>
        </w:rPr>
        <w:t>wellwise.ca</w:t>
      </w:r>
      <w:r>
        <w:rPr>
          <w:rStyle w:val="Hyperlink.1"/>
          <w:rtl w:val="0"/>
          <w:lang w:val="en-US"/>
        </w:rPr>
        <w:t xml:space="preserve">, and the </w:t>
      </w:r>
      <w:r>
        <w:rPr>
          <w:rStyle w:val="None"/>
          <w:u w:val="single"/>
          <w:rtl w:val="0"/>
          <w:lang w:val="en-US"/>
        </w:rPr>
        <w:t>click and collect</w:t>
      </w:r>
      <w:r>
        <w:rPr>
          <w:rStyle w:val="Hyperlink.1"/>
          <w:rtl w:val="0"/>
          <w:lang w:val="en-US"/>
        </w:rPr>
        <w:t xml:space="preserve"> services at the supermarkets. In early 2018, Loblaws has decided to aggressively expand its online grocery delivery capabilities, with the aim to make home grocery delivery a viable option for 70% of Canadians by the end of the year (Euromonitor, 2018).</w:t>
      </w:r>
    </w:p>
    <w:p>
      <w:pPr>
        <w:pStyle w:val="Body"/>
      </w:pPr>
      <w:r>
        <w:rPr>
          <w:rStyle w:val="Hyperlink.1"/>
        </w:rPr>
        <w:drawing>
          <wp:inline distT="0" distB="0" distL="0" distR="0">
            <wp:extent cx="5943473" cy="2611232"/>
            <wp:effectExtent l="0" t="0" r="0" b="0"/>
            <wp:docPr id="1073741826" name="officeArt object" descr="Points scored"/>
            <wp:cNvGraphicFramePr/>
            <a:graphic xmlns:a="http://schemas.openxmlformats.org/drawingml/2006/main">
              <a:graphicData uri="http://schemas.openxmlformats.org/drawingml/2006/picture">
                <pic:pic xmlns:pic="http://schemas.openxmlformats.org/drawingml/2006/picture">
                  <pic:nvPicPr>
                    <pic:cNvPr id="1073741826" name="Points scored" descr="Points scored"/>
                    <pic:cNvPicPr>
                      <a:picLocks noChangeAspect="1"/>
                    </pic:cNvPicPr>
                  </pic:nvPicPr>
                  <pic:blipFill>
                    <a:blip r:embed="rId5">
                      <a:extLst/>
                    </a:blip>
                    <a:stretch>
                      <a:fillRect/>
                    </a:stretch>
                  </pic:blipFill>
                  <pic:spPr>
                    <a:xfrm>
                      <a:off x="0" y="0"/>
                      <a:ext cx="5943473" cy="2611232"/>
                    </a:xfrm>
                    <a:prstGeom prst="rect">
                      <a:avLst/>
                    </a:prstGeom>
                    <a:ln w="12700" cap="flat">
                      <a:noFill/>
                      <a:miter lim="400000"/>
                    </a:ln>
                    <a:effectLst/>
                  </pic:spPr>
                </pic:pic>
              </a:graphicData>
            </a:graphic>
          </wp:inline>
        </w:drawing>
      </w:r>
    </w:p>
    <w:p>
      <w:pPr>
        <w:pStyle w:val="Body"/>
        <w:rPr>
          <w:rStyle w:val="Hyperlink.1"/>
          <w:sz w:val="20"/>
          <w:szCs w:val="20"/>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it-IT"/>
        </w:rPr>
        <w:t>Statista</w:t>
      </w:r>
      <w:r>
        <w:rPr>
          <w:rStyle w:val="None"/>
          <w:sz w:val="20"/>
          <w:szCs w:val="20"/>
          <w:rtl w:val="0"/>
        </w:rPr>
        <w:t xml:space="preserve"> </w:t>
      </w:r>
    </w:p>
    <w:p>
      <w:pPr>
        <w:pStyle w:val="Body"/>
        <w:rPr>
          <w:rStyle w:val="Hyperlink.1"/>
          <w:sz w:val="20"/>
          <w:szCs w:val="20"/>
        </w:rPr>
      </w:pPr>
    </w:p>
    <w:p>
      <w:pPr>
        <w:pStyle w:val="Body"/>
        <w:numPr>
          <w:ilvl w:val="0"/>
          <w:numId w:val="2"/>
        </w:numPr>
        <w:rPr>
          <w:lang w:val="en-US"/>
        </w:rPr>
      </w:pPr>
      <w:r>
        <w:rPr>
          <w:rStyle w:val="None"/>
          <w:u w:val="single"/>
          <w:rtl w:val="0"/>
          <w:lang w:val="en-US"/>
        </w:rPr>
        <w:t>Loblaws</w:t>
      </w:r>
      <w:r>
        <w:rPr>
          <w:rStyle w:val="Hyperlink.1"/>
          <w:rtl w:val="0"/>
          <w:lang w:val="en-US"/>
        </w:rPr>
        <w:t xml:space="preserve"> controls 19.19% of the Canadian grocery market (This comes from the combination of Loblaws and </w:t>
      </w:r>
      <w:r>
        <w:rPr>
          <w:rStyle w:val="None"/>
          <w:u w:val="single"/>
          <w:rtl w:val="0"/>
          <w:lang w:val="en-US"/>
        </w:rPr>
        <w:t>The Real Canadian Superstore</w:t>
      </w:r>
      <w:r>
        <w:rPr>
          <w:rStyle w:val="Hyperlink.1"/>
          <w:rtl w:val="0"/>
          <w:lang w:val="en-US"/>
        </w:rPr>
        <w:t xml:space="preserve"> market shares).</w:t>
      </w:r>
    </w:p>
    <w:p>
      <w:pPr>
        <w:pStyle w:val="Body"/>
        <w:numPr>
          <w:ilvl w:val="0"/>
          <w:numId w:val="2"/>
        </w:numPr>
        <w:bidi w:val="0"/>
        <w:ind w:right="0"/>
        <w:jc w:val="left"/>
        <w:rPr>
          <w:rtl w:val="0"/>
          <w:lang w:val="en-US"/>
        </w:rPr>
      </w:pPr>
      <w:r>
        <w:rPr>
          <w:rStyle w:val="Hyperlink.1"/>
          <w:rtl w:val="0"/>
          <w:lang w:val="en-US"/>
        </w:rPr>
        <w:t xml:space="preserve">Is capable of competing with American owned brands like </w:t>
      </w:r>
      <w:r>
        <w:rPr>
          <w:rStyle w:val="None"/>
          <w:u w:val="single"/>
          <w:rtl w:val="0"/>
        </w:rPr>
        <w:t>Walmart</w:t>
      </w:r>
      <w:r>
        <w:rPr>
          <w:rStyle w:val="Hyperlink.1"/>
          <w:rtl w:val="0"/>
        </w:rPr>
        <w:t>.</w:t>
      </w:r>
    </w:p>
    <w:p>
      <w:pPr>
        <w:pStyle w:val="Body"/>
        <w:rPr>
          <w:rStyle w:val="None"/>
          <w:sz w:val="20"/>
          <w:szCs w:val="20"/>
        </w:rPr>
      </w:pPr>
      <w:r>
        <w:rPr>
          <w:rStyle w:val="None"/>
          <w:sz w:val="20"/>
          <w:szCs w:val="20"/>
        </w:rPr>
        <w:drawing>
          <wp:inline distT="0" distB="0" distL="0" distR="0">
            <wp:extent cx="5943600" cy="3670300"/>
            <wp:effectExtent l="0" t="0" r="0" b="0"/>
            <wp:docPr id="1073741827" name="officeArt object" descr="Points scored"/>
            <wp:cNvGraphicFramePr/>
            <a:graphic xmlns:a="http://schemas.openxmlformats.org/drawingml/2006/main">
              <a:graphicData uri="http://schemas.openxmlformats.org/drawingml/2006/picture">
                <pic:pic xmlns:pic="http://schemas.openxmlformats.org/drawingml/2006/picture">
                  <pic:nvPicPr>
                    <pic:cNvPr id="1073741827" name="Points scored" descr="Points scored"/>
                    <pic:cNvPicPr>
                      <a:picLocks noChangeAspect="1"/>
                    </pic:cNvPicPr>
                  </pic:nvPicPr>
                  <pic:blipFill>
                    <a:blip r:embed="rId6">
                      <a:extLst/>
                    </a:blip>
                    <a:stretch>
                      <a:fillRect/>
                    </a:stretch>
                  </pic:blipFill>
                  <pic:spPr>
                    <a:xfrm>
                      <a:off x="0" y="0"/>
                      <a:ext cx="5943600" cy="3670300"/>
                    </a:xfrm>
                    <a:prstGeom prst="rect">
                      <a:avLst/>
                    </a:prstGeom>
                    <a:ln w="12700" cap="flat">
                      <a:noFill/>
                      <a:miter lim="400000"/>
                    </a:ln>
                    <a:effectLst/>
                  </pic:spPr>
                </pic:pic>
              </a:graphicData>
            </a:graphic>
          </wp:inline>
        </w:drawing>
      </w:r>
    </w:p>
    <w:p>
      <w:pPr>
        <w:pStyle w:val="Body"/>
        <w:rPr>
          <w:rStyle w:val="None"/>
          <w:sz w:val="20"/>
          <w:szCs w:val="20"/>
          <w:u w:val="single"/>
        </w:rPr>
      </w:pPr>
      <w:r>
        <w:rPr>
          <w:rStyle w:val="None"/>
          <w:sz w:val="20"/>
          <w:szCs w:val="20"/>
          <w:rtl w:val="0"/>
          <w:lang w:val="en-US"/>
        </w:rPr>
        <w:t xml:space="preserve">Source: </w:t>
      </w:r>
      <w:r>
        <w:rPr>
          <w:rStyle w:val="None"/>
          <w:sz w:val="20"/>
          <w:szCs w:val="20"/>
          <w:u w:val="single"/>
          <w:rtl w:val="0"/>
          <w:lang w:val="it-IT"/>
        </w:rPr>
        <w:t>Statista</w:t>
      </w:r>
    </w:p>
    <w:p>
      <w:pPr>
        <w:pStyle w:val="Body"/>
        <w:rPr>
          <w:rStyle w:val="None"/>
          <w:sz w:val="20"/>
          <w:szCs w:val="20"/>
          <w:u w:val="single"/>
        </w:rPr>
      </w:pPr>
    </w:p>
    <w:p>
      <w:pPr>
        <w:pStyle w:val="Body"/>
        <w:numPr>
          <w:ilvl w:val="0"/>
          <w:numId w:val="2"/>
        </w:numPr>
        <w:rPr>
          <w:lang w:val="en-US"/>
        </w:rPr>
      </w:pPr>
      <w:r>
        <w:rPr>
          <w:rStyle w:val="None"/>
          <w:u w:val="single"/>
          <w:rtl w:val="0"/>
          <w:lang w:val="en-US"/>
        </w:rPr>
        <w:t>Loblaws</w:t>
      </w:r>
      <w:r>
        <w:rPr>
          <w:rStyle w:val="Hyperlink.1"/>
          <w:rtl w:val="0"/>
          <w:lang w:val="en-US"/>
        </w:rPr>
        <w:t xml:space="preserve"> is one of the leading Canadian owned groceries</w:t>
      </w:r>
    </w:p>
    <w:p>
      <w:pPr>
        <w:pStyle w:val="Body"/>
      </w:pPr>
      <w:r>
        <w:rPr>
          <w:rStyle w:val="Hyperlink.1"/>
        </w:rPr>
        <w:drawing>
          <wp:inline distT="0" distB="0" distL="0" distR="0">
            <wp:extent cx="5943600" cy="3670300"/>
            <wp:effectExtent l="0" t="0" r="0" b="0"/>
            <wp:docPr id="1073741828" name="officeArt object" descr="Points scored"/>
            <wp:cNvGraphicFramePr/>
            <a:graphic xmlns:a="http://schemas.openxmlformats.org/drawingml/2006/main">
              <a:graphicData uri="http://schemas.openxmlformats.org/drawingml/2006/picture">
                <pic:pic xmlns:pic="http://schemas.openxmlformats.org/drawingml/2006/picture">
                  <pic:nvPicPr>
                    <pic:cNvPr id="1073741828" name="Points scored" descr="Points scored"/>
                    <pic:cNvPicPr>
                      <a:picLocks noChangeAspect="1"/>
                    </pic:cNvPicPr>
                  </pic:nvPicPr>
                  <pic:blipFill>
                    <a:blip r:embed="rId7">
                      <a:extLst/>
                    </a:blip>
                    <a:stretch>
                      <a:fillRect/>
                    </a:stretch>
                  </pic:blipFill>
                  <pic:spPr>
                    <a:xfrm>
                      <a:off x="0" y="0"/>
                      <a:ext cx="5943600" cy="3670300"/>
                    </a:xfrm>
                    <a:prstGeom prst="rect">
                      <a:avLst/>
                    </a:prstGeom>
                    <a:ln w="12700" cap="flat">
                      <a:noFill/>
                      <a:miter lim="400000"/>
                    </a:ln>
                    <a:effectLst/>
                  </pic:spPr>
                </pic:pic>
              </a:graphicData>
            </a:graphic>
          </wp:inline>
        </w:drawing>
      </w:r>
    </w:p>
    <w:p>
      <w:pPr>
        <w:pStyle w:val="Body"/>
        <w:rPr>
          <w:rStyle w:val="None"/>
          <w:sz w:val="20"/>
          <w:szCs w:val="20"/>
          <w:u w:val="single"/>
        </w:rPr>
      </w:pPr>
      <w:r>
        <w:rPr>
          <w:rStyle w:val="None"/>
          <w:sz w:val="20"/>
          <w:szCs w:val="20"/>
          <w:rtl w:val="0"/>
          <w:lang w:val="en-US"/>
        </w:rPr>
        <w:t xml:space="preserve">Source: </w:t>
      </w:r>
      <w:r>
        <w:rPr>
          <w:rStyle w:val="None"/>
          <w:sz w:val="20"/>
          <w:szCs w:val="20"/>
          <w:u w:val="single"/>
          <w:rtl w:val="0"/>
          <w:lang w:val="it-IT"/>
        </w:rPr>
        <w:t>Statista</w:t>
      </w:r>
    </w:p>
    <w:p>
      <w:pPr>
        <w:pStyle w:val="Body"/>
        <w:ind w:left="720" w:firstLine="0"/>
      </w:pPr>
    </w:p>
    <w:p>
      <w:pPr>
        <w:pStyle w:val="Body"/>
        <w:numPr>
          <w:ilvl w:val="0"/>
          <w:numId w:val="2"/>
        </w:numPr>
        <w:rPr>
          <w:lang w:val="en-US"/>
        </w:rPr>
      </w:pPr>
      <w:r>
        <w:rPr>
          <w:rStyle w:val="None"/>
          <w:u w:val="single"/>
          <w:rtl w:val="0"/>
          <w:lang w:val="en-US"/>
        </w:rPr>
        <w:t>Loblaws</w:t>
      </w:r>
      <w:r>
        <w:rPr>
          <w:rStyle w:val="None"/>
          <w:u w:val="single"/>
          <w:rtl w:val="1"/>
        </w:rPr>
        <w:t>’</w:t>
      </w:r>
      <w:r>
        <w:rPr>
          <w:rStyle w:val="Hyperlink.1"/>
          <w:rtl w:val="0"/>
          <w:lang w:val="en-US"/>
        </w:rPr>
        <w:t xml:space="preserve"> revenue has been steadily increasing since 2014.</w:t>
      </w:r>
    </w:p>
    <w:p>
      <w:pPr>
        <w:pStyle w:val="Heading 3"/>
        <w:rPr>
          <w:rStyle w:val="None"/>
          <w:u w:val="single"/>
        </w:rPr>
      </w:pPr>
      <w:bookmarkStart w:name="_fbycey6g8ic" w:id="7"/>
      <w:bookmarkEnd w:id="7"/>
      <w:r>
        <w:rPr>
          <w:rStyle w:val="None"/>
          <w:rFonts w:cs="Arial Unicode MS" w:eastAsia="Arial Unicode MS"/>
          <w:u w:val="single"/>
          <w:rtl w:val="0"/>
        </w:rPr>
        <w:t>O</w:t>
      </w:r>
      <w:r>
        <w:rPr>
          <w:rStyle w:val="None"/>
          <w:rFonts w:cs="Arial Unicode MS" w:eastAsia="Arial Unicode MS"/>
          <w:u w:val="single"/>
          <w:rtl w:val="0"/>
          <w:lang w:val="en-US"/>
        </w:rPr>
        <w:t>ther Findings</w:t>
      </w:r>
    </w:p>
    <w:p>
      <w:pPr>
        <w:pStyle w:val="Body"/>
        <w:numPr>
          <w:ilvl w:val="0"/>
          <w:numId w:val="2"/>
        </w:numPr>
        <w:rPr>
          <w:lang w:val="en-US"/>
        </w:rPr>
      </w:pPr>
      <w:r>
        <w:rPr>
          <w:rStyle w:val="Hyperlink.1"/>
          <w:rtl w:val="0"/>
          <w:lang w:val="en-US"/>
        </w:rPr>
        <w:t xml:space="preserve">Entered the Asian grocery market by purchasing </w:t>
      </w:r>
      <w:r>
        <w:rPr>
          <w:rStyle w:val="None"/>
          <w:u w:val="single"/>
          <w:rtl w:val="0"/>
        </w:rPr>
        <w:t>T&amp;T</w:t>
      </w:r>
      <w:r>
        <w:rPr>
          <w:rStyle w:val="Hyperlink.1"/>
          <w:rtl w:val="0"/>
        </w:rPr>
        <w:t xml:space="preserve">. </w:t>
      </w:r>
    </w:p>
    <w:p>
      <w:pPr>
        <w:pStyle w:val="Body"/>
        <w:numPr>
          <w:ilvl w:val="0"/>
          <w:numId w:val="2"/>
        </w:numPr>
        <w:rPr>
          <w:lang w:val="en-US"/>
        </w:rPr>
      </w:pPr>
      <w:r>
        <w:rPr>
          <w:rStyle w:val="Hyperlink.1"/>
          <w:rtl w:val="0"/>
          <w:lang w:val="en-US"/>
        </w:rPr>
        <w:t xml:space="preserve">The Canadian grocery e-commerce market is estimated to grow. It already rose by 30% in 2017 (eMarketer, 2018). </w:t>
      </w:r>
    </w:p>
    <w:p>
      <w:pPr>
        <w:pStyle w:val="Body"/>
        <w:numPr>
          <w:ilvl w:val="0"/>
          <w:numId w:val="2"/>
        </w:numPr>
        <w:rPr>
          <w:lang w:val="en-US"/>
        </w:rPr>
      </w:pPr>
      <w:r>
        <w:rPr>
          <w:rStyle w:val="Hyperlink.1"/>
          <w:rtl w:val="0"/>
          <w:lang w:val="en-US"/>
        </w:rPr>
        <w:t xml:space="preserve">The </w:t>
      </w:r>
      <w:r>
        <w:rPr>
          <w:rStyle w:val="None"/>
          <w:u w:val="single"/>
          <w:rtl w:val="0"/>
          <w:lang w:val="en-US"/>
        </w:rPr>
        <w:t>Loblaw Company</w:t>
      </w:r>
      <w:r>
        <w:rPr>
          <w:rStyle w:val="Hyperlink.1"/>
          <w:rtl w:val="0"/>
          <w:lang w:val="en-US"/>
        </w:rPr>
        <w:t xml:space="preserve"> CSR (Corporate Social Responsibility) focuses on tackling an issue like childhood hunger and putting women</w:t>
      </w:r>
      <w:r>
        <w:rPr>
          <w:rStyle w:val="Hyperlink.1"/>
          <w:rtl w:val="1"/>
        </w:rPr>
        <w:t>’</w:t>
      </w:r>
      <w:r>
        <w:rPr>
          <w:rStyle w:val="Hyperlink.1"/>
          <w:rtl w:val="0"/>
          <w:lang w:val="en-US"/>
        </w:rPr>
        <w:t>s health first (Loblaw, 2018).</w:t>
      </w:r>
    </w:p>
    <w:p>
      <w:pPr>
        <w:pStyle w:val="Body"/>
        <w:numPr>
          <w:ilvl w:val="0"/>
          <w:numId w:val="2"/>
        </w:numPr>
        <w:bidi w:val="0"/>
        <w:ind w:right="0"/>
        <w:jc w:val="left"/>
        <w:rPr>
          <w:rtl w:val="0"/>
          <w:lang w:val="en-US"/>
        </w:rPr>
      </w:pPr>
      <w:r>
        <w:rPr>
          <w:rStyle w:val="None"/>
          <w:u w:val="single"/>
          <w:rtl w:val="0"/>
          <w:lang w:val="en-US"/>
        </w:rPr>
        <w:t>Loblaws</w:t>
      </w:r>
      <w:r>
        <w:rPr>
          <w:rStyle w:val="Hyperlink.1"/>
          <w:rtl w:val="0"/>
          <w:lang w:val="en-US"/>
        </w:rPr>
        <w:t xml:space="preserve"> actively supports two main charities: </w:t>
      </w:r>
      <w:r>
        <w:rPr>
          <w:rStyle w:val="None"/>
          <w:u w:val="single"/>
          <w:rtl w:val="0"/>
          <w:lang w:val="en-US"/>
        </w:rPr>
        <w:t>PC Children</w:t>
      </w:r>
      <w:r>
        <w:rPr>
          <w:rStyle w:val="None"/>
          <w:u w:val="single"/>
          <w:rtl w:val="1"/>
        </w:rPr>
        <w:t>’</w:t>
      </w:r>
      <w:r>
        <w:rPr>
          <w:rStyle w:val="None"/>
          <w:u w:val="single"/>
          <w:rtl w:val="0"/>
          <w:lang w:val="en-US"/>
        </w:rPr>
        <w:t>s Charity</w:t>
      </w:r>
      <w:r>
        <w:rPr>
          <w:rStyle w:val="Hyperlink.1"/>
          <w:rtl w:val="0"/>
          <w:lang w:val="en-US"/>
        </w:rPr>
        <w:t xml:space="preserve"> and the </w:t>
      </w:r>
      <w:r>
        <w:rPr>
          <w:rStyle w:val="None"/>
          <w:u w:val="single"/>
          <w:rtl w:val="0"/>
          <w:lang w:val="en-US"/>
        </w:rPr>
        <w:t>SHOPPERS LOVE. YOU.</w:t>
      </w:r>
    </w:p>
    <w:p>
      <w:pPr>
        <w:pStyle w:val="Heading 2"/>
      </w:pPr>
      <w:bookmarkStart w:name="_m2b845n1j7yr" w:id="8"/>
      <w:bookmarkEnd w:id="8"/>
      <w:r>
        <w:rPr>
          <w:rStyle w:val="Hyperlink.1"/>
          <w:rFonts w:ascii="Arial Unicode MS" w:cs="Arial Unicode MS" w:hAnsi="Arial Unicode MS" w:eastAsia="Arial Unicode MS"/>
          <w:b w:val="0"/>
          <w:bCs w:val="0"/>
          <w:i w:val="0"/>
          <w:iCs w:val="0"/>
        </w:rPr>
        <w:br w:type="page"/>
      </w:r>
    </w:p>
    <w:p>
      <w:pPr>
        <w:pStyle w:val="Heading 2"/>
        <w:rPr>
          <w:rStyle w:val="Hyperlink.0"/>
        </w:rPr>
      </w:pPr>
      <w:bookmarkStart w:name="_ra38p26x2wb" w:id="9"/>
      <w:bookmarkEnd w:id="9"/>
      <w:r>
        <w:rPr>
          <w:rStyle w:val="Hyperlink.0"/>
          <w:rFonts w:cs="Arial Unicode MS" w:eastAsia="Arial Unicode MS"/>
          <w:rtl w:val="0"/>
        </w:rPr>
        <w:t>C</w:t>
      </w:r>
      <w:r>
        <w:rPr>
          <w:rStyle w:val="Hyperlink.0"/>
          <w:rFonts w:cs="Arial Unicode MS" w:eastAsia="Arial Unicode MS"/>
          <w:rtl w:val="0"/>
          <w:lang w:val="en-US"/>
        </w:rPr>
        <w:t>urrent Users/ Target Definition</w:t>
      </w:r>
    </w:p>
    <w:p>
      <w:pPr>
        <w:pStyle w:val="Heading 3"/>
      </w:pPr>
      <w:bookmarkStart w:name="_yhktl3cccyxo" w:id="10"/>
      <w:bookmarkEnd w:id="10"/>
      <w:r>
        <w:rPr>
          <w:rStyle w:val="Hyperlink.1"/>
          <w:rFonts w:cs="Arial Unicode MS" w:eastAsia="Arial Unicode MS"/>
          <w:rtl w:val="0"/>
        </w:rPr>
        <w:t>D</w:t>
      </w:r>
      <w:r>
        <w:rPr>
          <w:rStyle w:val="Hyperlink.1"/>
          <w:rFonts w:cs="Arial Unicode MS" w:eastAsia="Arial Unicode MS"/>
          <w:rtl w:val="0"/>
          <w:lang w:val="en-US"/>
        </w:rPr>
        <w:t xml:space="preserve">emographics </w:t>
      </w:r>
    </w:p>
    <w:p>
      <w:pPr>
        <w:pStyle w:val="Body"/>
        <w:rPr>
          <w:rStyle w:val="None"/>
          <w:b w:val="1"/>
          <w:bCs w:val="1"/>
        </w:rPr>
      </w:pP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5"/>
        <w:gridCol w:w="2325"/>
        <w:gridCol w:w="2340"/>
        <w:gridCol w:w="2340"/>
      </w:tblGrid>
      <w:tr>
        <w:tblPrEx>
          <w:shd w:val="clear" w:color="auto" w:fill="ced7e7"/>
        </w:tblPrEx>
        <w:trPr>
          <w:trHeight w:val="52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 xml:space="preserve">Age - All Food Shopping - Types of Stores HH Shop At - Any </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 xml:space="preserve">Age </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12-17</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7.3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18-24</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6.0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56</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25-34</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16.0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16.5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104</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35-49</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22.8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24.9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109</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50-64</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24.3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28.3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117</w:t>
            </w:r>
          </w:p>
        </w:tc>
      </w:tr>
      <w:tr>
        <w:tblPrEx>
          <w:shd w:val="clear" w:color="auto" w:fill="ced7e7"/>
        </w:tblPrEx>
        <w:trPr>
          <w:trHeight w:val="520" w:hRule="atLeast"/>
        </w:trPr>
        <w:tc>
          <w:tcPr>
            <w:tcW w:type="dxa" w:w="2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65+</w:t>
            </w:r>
          </w:p>
        </w:tc>
        <w:tc>
          <w:tcPr>
            <w:tcW w:type="dxa" w:w="23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22.9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121</w:t>
            </w:r>
          </w:p>
        </w:tc>
      </w:tr>
    </w:tbl>
    <w:p>
      <w:pPr>
        <w:pStyle w:val="Body"/>
        <w:widowControl w:val="0"/>
        <w:spacing w:line="240" w:lineRule="auto"/>
        <w:ind w:left="2" w:hanging="2"/>
        <w:rPr>
          <w:rStyle w:val="None"/>
          <w:b w:val="1"/>
          <w:bCs w:val="1"/>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pPr>
    </w:p>
    <w:p>
      <w:pPr>
        <w:pStyle w:val="Body"/>
        <w:numPr>
          <w:ilvl w:val="0"/>
          <w:numId w:val="4"/>
        </w:numPr>
        <w:bidi w:val="0"/>
        <w:ind w:right="0"/>
        <w:jc w:val="left"/>
        <w:rPr>
          <w:rtl w:val="0"/>
          <w:lang w:val="en-US"/>
        </w:rPr>
      </w:pPr>
      <w:r>
        <w:rPr>
          <w:rStyle w:val="Hyperlink.1"/>
          <w:rtl w:val="0"/>
          <w:lang w:val="en-US"/>
        </w:rPr>
        <w:t xml:space="preserve">76.1% of grocery shoppers are 35+ years old. They are at least 9% more likely to shop at grocery stores than other age groups.  </w:t>
      </w:r>
    </w:p>
    <w:p>
      <w:pPr>
        <w:pStyle w:val="Body"/>
        <w:numPr>
          <w:ilvl w:val="0"/>
          <w:numId w:val="4"/>
        </w:numPr>
        <w:bidi w:val="0"/>
        <w:ind w:right="0"/>
        <w:jc w:val="left"/>
        <w:rPr>
          <w:rtl w:val="0"/>
          <w:lang w:val="en-US"/>
        </w:rPr>
      </w:pPr>
      <w:r>
        <w:rPr>
          <w:rStyle w:val="Hyperlink.1"/>
          <w:rtl w:val="0"/>
          <w:lang w:val="en-US"/>
        </w:rPr>
        <w:t xml:space="preserve">65+ year olds are 21% more likely to purchase from grocery stores, and 22.9% of them already do.  </w:t>
      </w: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46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Age - Loblaws</w:t>
            </w:r>
            <w:r>
              <w:rPr>
                <w:rStyle w:val="None"/>
                <w:b w:val="0"/>
                <w:bCs w:val="0"/>
                <w:rtl w:val="0"/>
                <w:lang w:val="en-US"/>
              </w:rPr>
              <w:t xml:space="preserve"> </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Age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12-17</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7.3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40</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18-24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44</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25-34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16.0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17.4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109</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35-49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22.8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28.3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121</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50-64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24.3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27.0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112</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65+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108</w:t>
            </w:r>
          </w:p>
        </w:tc>
      </w:tr>
    </w:tbl>
    <w:p>
      <w:pPr>
        <w:pStyle w:val="Body"/>
        <w:widowControl w:val="0"/>
        <w:spacing w:line="240" w:lineRule="auto"/>
        <w:ind w:left="936" w:hanging="936"/>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pPr>
    </w:p>
    <w:p>
      <w:pPr>
        <w:pStyle w:val="Body"/>
        <w:numPr>
          <w:ilvl w:val="0"/>
          <w:numId w:val="6"/>
        </w:numPr>
        <w:bidi w:val="0"/>
        <w:ind w:right="0"/>
        <w:jc w:val="left"/>
        <w:rPr>
          <w:rtl w:val="0"/>
          <w:lang w:val="en-US"/>
        </w:rPr>
      </w:pPr>
      <w:r>
        <w:rPr>
          <w:rStyle w:val="Hyperlink.1"/>
          <w:rtl w:val="0"/>
          <w:lang w:val="en-US"/>
        </w:rPr>
        <w:t xml:space="preserve">72.7% of </w:t>
      </w:r>
      <w:r>
        <w:rPr>
          <w:rStyle w:val="None"/>
          <w:u w:val="single"/>
          <w:rtl w:val="0"/>
          <w:lang w:val="en-US"/>
        </w:rPr>
        <w:t>Loblaws</w:t>
      </w:r>
      <w:r>
        <w:rPr>
          <w:rStyle w:val="Hyperlink.1"/>
          <w:rtl w:val="0"/>
          <w:lang w:val="en-US"/>
        </w:rPr>
        <w:t xml:space="preserve"> customers are 25-64 years old. </w:t>
      </w:r>
    </w:p>
    <w:p>
      <w:pPr>
        <w:pStyle w:val="Body"/>
        <w:numPr>
          <w:ilvl w:val="0"/>
          <w:numId w:val="6"/>
        </w:numPr>
        <w:bidi w:val="0"/>
        <w:ind w:right="0"/>
        <w:jc w:val="left"/>
        <w:rPr>
          <w:rtl w:val="0"/>
          <w:lang w:val="en-US"/>
        </w:rPr>
      </w:pPr>
      <w:r>
        <w:rPr>
          <w:rStyle w:val="Hyperlink.1"/>
          <w:rtl w:val="0"/>
          <w:lang w:val="en-US"/>
        </w:rPr>
        <w:t xml:space="preserve">28.3% of </w:t>
      </w:r>
      <w:r>
        <w:rPr>
          <w:rStyle w:val="None"/>
          <w:u w:val="single"/>
          <w:rtl w:val="0"/>
          <w:lang w:val="en-US"/>
        </w:rPr>
        <w:t>Loblaws</w:t>
      </w:r>
      <w:r>
        <w:rPr>
          <w:rStyle w:val="Hyperlink.1"/>
          <w:rtl w:val="0"/>
          <w:lang w:val="en-US"/>
        </w:rPr>
        <w:t xml:space="preserve"> customers are 35-49 years old, and are 21% more likely to shop there than other age groups. </w:t>
      </w:r>
    </w:p>
    <w:p>
      <w:pPr>
        <w:pStyle w:val="Body"/>
        <w:rPr>
          <w:rStyle w:val="None"/>
          <w:b w:val="1"/>
          <w:bCs w:val="1"/>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46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 xml:space="preserve">Gender - All Food Shopping - Types of Stores HH Shop At - Any </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Gender</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Male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49.3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40.5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82</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Female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50.7</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59.5</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117</w:t>
            </w:r>
          </w:p>
        </w:tc>
      </w:tr>
    </w:tbl>
    <w:p>
      <w:pPr>
        <w:pStyle w:val="Body"/>
        <w:widowControl w:val="0"/>
        <w:spacing w:line="240" w:lineRule="auto"/>
        <w:ind w:left="936" w:hanging="936"/>
        <w:rPr>
          <w:rStyle w:val="None"/>
          <w:b w:val="1"/>
          <w:bCs w:val="1"/>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pPr>
    </w:p>
    <w:p>
      <w:pPr>
        <w:pStyle w:val="Body"/>
        <w:numPr>
          <w:ilvl w:val="0"/>
          <w:numId w:val="8"/>
        </w:numPr>
        <w:bidi w:val="0"/>
        <w:ind w:right="0"/>
        <w:jc w:val="left"/>
        <w:rPr>
          <w:rtl w:val="0"/>
          <w:lang w:val="en-US"/>
        </w:rPr>
      </w:pPr>
      <w:r>
        <w:rPr>
          <w:rStyle w:val="Hyperlink.1"/>
          <w:rtl w:val="0"/>
          <w:lang w:val="en-US"/>
        </w:rPr>
        <w:t xml:space="preserve">Women are 17% more likely to purchase from grocery stores. </w:t>
      </w:r>
    </w:p>
    <w:p>
      <w:pPr>
        <w:pStyle w:val="Body"/>
        <w:numPr>
          <w:ilvl w:val="0"/>
          <w:numId w:val="8"/>
        </w:numPr>
        <w:bidi w:val="0"/>
        <w:ind w:right="0"/>
        <w:jc w:val="left"/>
        <w:rPr>
          <w:rtl w:val="0"/>
          <w:lang w:val="en-US"/>
        </w:rPr>
      </w:pPr>
      <w:r>
        <w:rPr>
          <w:rStyle w:val="Hyperlink.1"/>
          <w:rtl w:val="0"/>
          <w:lang w:val="en-US"/>
        </w:rPr>
        <w:t xml:space="preserve">100% of adults purchase from grocery stores </w:t>
      </w:r>
    </w:p>
    <w:p>
      <w:pPr>
        <w:pStyle w:val="Body"/>
        <w:numPr>
          <w:ilvl w:val="0"/>
          <w:numId w:val="8"/>
        </w:numPr>
        <w:bidi w:val="0"/>
        <w:ind w:right="0"/>
        <w:jc w:val="left"/>
        <w:rPr>
          <w:rtl w:val="0"/>
          <w:lang w:val="en-US"/>
        </w:rPr>
      </w:pPr>
      <w:r>
        <w:rPr>
          <w:rStyle w:val="Hyperlink.1"/>
          <w:rtl w:val="0"/>
          <w:lang w:val="en-US"/>
        </w:rPr>
        <w:t xml:space="preserve">Women purchase from grocery stores 19% more than men.  </w:t>
      </w:r>
    </w:p>
    <w:p>
      <w:pPr>
        <w:pStyle w:val="Body"/>
        <w:rPr>
          <w:rStyle w:val="None"/>
          <w:b w:val="1"/>
          <w:bCs w:val="1"/>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46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Gender - Loblaws</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Gender</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Male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49.3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38.6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78</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Female</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50.7</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61.4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121</w:t>
            </w:r>
          </w:p>
        </w:tc>
      </w:tr>
    </w:tbl>
    <w:p>
      <w:pPr>
        <w:pStyle w:val="Body"/>
        <w:widowControl w:val="0"/>
        <w:spacing w:line="240" w:lineRule="auto"/>
        <w:ind w:left="936" w:hanging="936"/>
        <w:rPr>
          <w:rStyle w:val="None"/>
          <w:b w:val="1"/>
          <w:bCs w:val="1"/>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rPr>
          <w:rStyle w:val="Hyperlink.1"/>
          <w:sz w:val="20"/>
          <w:szCs w:val="20"/>
        </w:rPr>
      </w:pPr>
    </w:p>
    <w:p>
      <w:pPr>
        <w:pStyle w:val="Body"/>
        <w:numPr>
          <w:ilvl w:val="0"/>
          <w:numId w:val="10"/>
        </w:numPr>
        <w:rPr>
          <w:lang w:val="en-US"/>
        </w:rPr>
      </w:pPr>
      <w:r>
        <w:rPr>
          <w:rStyle w:val="Hyperlink.1"/>
          <w:rtl w:val="0"/>
          <w:lang w:val="en-US"/>
        </w:rPr>
        <w:t xml:space="preserve">61.4% of </w:t>
      </w:r>
      <w:r>
        <w:rPr>
          <w:rStyle w:val="None"/>
          <w:u w:val="single"/>
          <w:rtl w:val="0"/>
          <w:lang w:val="en-US"/>
        </w:rPr>
        <w:t>Loblaws</w:t>
      </w:r>
      <w:r>
        <w:rPr>
          <w:rStyle w:val="Hyperlink.1"/>
          <w:rtl w:val="0"/>
          <w:lang w:val="en-US"/>
        </w:rPr>
        <w:t xml:space="preserve"> consumers are women. </w:t>
      </w:r>
    </w:p>
    <w:p>
      <w:pPr>
        <w:pStyle w:val="Body"/>
        <w:numPr>
          <w:ilvl w:val="0"/>
          <w:numId w:val="10"/>
        </w:numPr>
        <w:bidi w:val="0"/>
        <w:ind w:right="0"/>
        <w:jc w:val="left"/>
        <w:rPr>
          <w:rtl w:val="0"/>
          <w:lang w:val="en-US"/>
        </w:rPr>
      </w:pPr>
      <w:r>
        <w:rPr>
          <w:rStyle w:val="Hyperlink.1"/>
          <w:rtl w:val="0"/>
          <w:lang w:val="en-US"/>
        </w:rPr>
        <w:t xml:space="preserve">Out of 100% of adult </w:t>
      </w:r>
      <w:r>
        <w:rPr>
          <w:rStyle w:val="None"/>
          <w:u w:val="single"/>
          <w:rtl w:val="0"/>
          <w:lang w:val="en-US"/>
        </w:rPr>
        <w:t>Loblaws</w:t>
      </w:r>
      <w:r>
        <w:rPr>
          <w:rStyle w:val="Hyperlink.1"/>
          <w:rtl w:val="0"/>
          <w:lang w:val="en-US"/>
        </w:rPr>
        <w:t xml:space="preserve"> consumers, there are 22.8% more women customers than men. </w:t>
      </w:r>
    </w:p>
    <w:p>
      <w:pPr>
        <w:pStyle w:val="Body"/>
      </w:pPr>
      <w:r>
        <w:rPr>
          <w:rStyle w:val="Hyperlink.1"/>
          <w:rFonts w:ascii="Arial Unicode MS" w:cs="Arial Unicode MS" w:hAnsi="Arial Unicode MS" w:eastAsia="Arial Unicode MS"/>
          <w:b w:val="0"/>
          <w:bCs w:val="0"/>
          <w:i w:val="0"/>
          <w:iCs w:val="0"/>
        </w:rPr>
        <w:br w:type="page"/>
      </w:r>
    </w:p>
    <w:p>
      <w:pPr>
        <w:pStyle w:val="Body"/>
        <w:rPr>
          <w:rStyle w:val="None"/>
          <w:b w:val="1"/>
          <w:bCs w:val="1"/>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46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 xml:space="preserve">HHI - All Food Shopping - Types of Stores HH Shop At - Any </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HHI</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Under $25,000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12.8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14.4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113</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$25,000-$34,999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8.2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9.1</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111</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$35,000-$49,999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13.3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14.0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105</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$50,000-$74,999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18.8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98</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$75,000-$99,999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14.2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14.0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99</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 xml:space="preserve">$100,000+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32.4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29.6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92</w:t>
            </w:r>
          </w:p>
        </w:tc>
      </w:tr>
    </w:tbl>
    <w:p>
      <w:pPr>
        <w:pStyle w:val="Body"/>
        <w:widowControl w:val="0"/>
        <w:spacing w:line="240" w:lineRule="auto"/>
        <w:ind w:left="936" w:hanging="936"/>
        <w:rPr>
          <w:rStyle w:val="None"/>
          <w:b w:val="1"/>
          <w:bCs w:val="1"/>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rPr>
          <w:rStyle w:val="None"/>
          <w:b w:val="1"/>
          <w:bCs w:val="1"/>
        </w:rPr>
      </w:pPr>
    </w:p>
    <w:p>
      <w:pPr>
        <w:pStyle w:val="Body"/>
        <w:numPr>
          <w:ilvl w:val="0"/>
          <w:numId w:val="12"/>
        </w:numPr>
        <w:rPr>
          <w:lang w:val="en-US"/>
        </w:rPr>
      </w:pPr>
      <w:r>
        <w:rPr>
          <w:rStyle w:val="Hyperlink.1"/>
          <w:rtl w:val="0"/>
          <w:lang w:val="en-US"/>
        </w:rPr>
        <w:t>70.3% of grocery shoppers have a HHI of under $25,000-$99,999.</w:t>
      </w:r>
    </w:p>
    <w:p>
      <w:pPr>
        <w:pStyle w:val="Body"/>
        <w:numPr>
          <w:ilvl w:val="0"/>
          <w:numId w:val="12"/>
        </w:numPr>
        <w:bidi w:val="0"/>
        <w:ind w:right="0"/>
        <w:jc w:val="left"/>
        <w:rPr>
          <w:rtl w:val="0"/>
          <w:lang w:val="en-US"/>
        </w:rPr>
      </w:pPr>
      <w:r>
        <w:rPr>
          <w:rStyle w:val="Hyperlink.1"/>
          <w:rtl w:val="0"/>
          <w:lang w:val="en-US"/>
        </w:rPr>
        <w:t xml:space="preserve">Adults with a HHI of under $25,000 make up 14% of all current grocery shoppers, and are 13% more likely to grocery shop than other HHI groups. </w:t>
      </w:r>
    </w:p>
    <w:p>
      <w:pPr>
        <w:pStyle w:val="Body"/>
        <w:rPr>
          <w:rStyle w:val="None"/>
          <w:b w:val="1"/>
          <w:bCs w:val="1"/>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40"/>
        <w:gridCol w:w="2340"/>
        <w:gridCol w:w="2340"/>
        <w:gridCol w:w="2340"/>
      </w:tblGrid>
      <w:tr>
        <w:tblPrEx>
          <w:shd w:val="clear" w:color="auto" w:fill="ced7e7"/>
        </w:tblPrEx>
        <w:trPr>
          <w:trHeight w:val="460" w:hRule="atLeast"/>
        </w:trPr>
        <w:tc>
          <w:tcPr>
            <w:tcW w:type="dxa" w:w="9360"/>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ead3"/>
            <w:tcMar>
              <w:top w:type="dxa" w:w="80"/>
              <w:left w:type="dxa" w:w="80"/>
              <w:bottom w:type="dxa" w:w="80"/>
              <w:right w:type="dxa" w:w="80"/>
            </w:tcMar>
            <w:vAlign w:val="top"/>
          </w:tcPr>
          <w:p>
            <w:pPr>
              <w:pStyle w:val="Body"/>
              <w:jc w:val="center"/>
            </w:pPr>
            <w:r>
              <w:rPr>
                <w:rStyle w:val="None"/>
                <w:b w:val="1"/>
                <w:bCs w:val="1"/>
                <w:rtl w:val="0"/>
                <w:lang w:val="en-US"/>
              </w:rPr>
              <w:t>HHI - Loblaws</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HHI</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Users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Index</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Under $25,000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12.8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12.6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104</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$25,000-$34,999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8.2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8.0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104</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$35,000-$49,999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13.3</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12.0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88</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$50,000-$74,999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18.6</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89</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$75,000-$99,999</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14.2</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16.0</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107</w:t>
            </w:r>
          </w:p>
        </w:tc>
      </w:tr>
      <w:tr>
        <w:tblPrEx>
          <w:shd w:val="clear" w:color="auto" w:fill="ced7e7"/>
        </w:tblPrEx>
        <w:trPr>
          <w:trHeight w:val="253" w:hRule="atLeast"/>
        </w:trPr>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 xml:space="preserve">$100,000+ </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32.4</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32.8</w:t>
            </w:r>
          </w:p>
        </w:tc>
        <w:tc>
          <w:tcPr>
            <w:tcW w:type="dxa" w:w="23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4cccc"/>
            <w:tcMar>
              <w:top w:type="dxa" w:w="80"/>
              <w:left w:type="dxa" w:w="80"/>
              <w:bottom w:type="dxa" w:w="80"/>
              <w:right w:type="dxa" w:w="80"/>
            </w:tcMar>
            <w:vAlign w:val="top"/>
          </w:tcPr>
          <w:p>
            <w:pPr>
              <w:pStyle w:val="Body"/>
              <w:widowControl w:val="0"/>
              <w:spacing w:line="240" w:lineRule="auto"/>
              <w:jc w:val="right"/>
            </w:pPr>
            <w:r>
              <w:rPr>
                <w:rStyle w:val="None"/>
                <w:rtl w:val="0"/>
                <w:lang w:val="en-US"/>
              </w:rPr>
              <w:t>107</w:t>
            </w:r>
          </w:p>
        </w:tc>
      </w:tr>
    </w:tbl>
    <w:p>
      <w:pPr>
        <w:pStyle w:val="Body"/>
        <w:widowControl w:val="0"/>
        <w:spacing w:line="240" w:lineRule="auto"/>
        <w:ind w:left="936" w:hanging="936"/>
        <w:rPr>
          <w:rStyle w:val="None"/>
          <w:b w:val="1"/>
          <w:bCs w:val="1"/>
        </w:rPr>
      </w:pPr>
    </w:p>
    <w:p>
      <w:pPr>
        <w:pStyle w:val="Body"/>
        <w:rPr>
          <w:rStyle w:val="None"/>
          <w:sz w:val="20"/>
          <w:szCs w:val="20"/>
        </w:rPr>
      </w:pPr>
      <w:r>
        <w:rPr>
          <w:rStyle w:val="None"/>
          <w:sz w:val="20"/>
          <w:szCs w:val="20"/>
          <w:rtl w:val="0"/>
          <w:lang w:val="en-US"/>
        </w:rPr>
        <w:t xml:space="preserve">Source: </w:t>
      </w:r>
      <w:r>
        <w:rPr>
          <w:rStyle w:val="None"/>
          <w:sz w:val="20"/>
          <w:szCs w:val="20"/>
          <w:u w:val="single"/>
          <w:rtl w:val="0"/>
          <w:lang w:val="en-US"/>
        </w:rPr>
        <w:t>VIVIDATA 2017 Q2 Readership and Product Database.</w:t>
      </w:r>
      <w:r>
        <w:rPr>
          <w:rStyle w:val="None"/>
          <w:sz w:val="20"/>
          <w:szCs w:val="20"/>
          <w:rtl w:val="0"/>
        </w:rPr>
        <w:t xml:space="preserve"> </w:t>
      </w:r>
      <w:r>
        <w:rPr>
          <w:rStyle w:val="None"/>
          <w:sz w:val="20"/>
          <w:szCs w:val="20"/>
          <w:u w:val="single"/>
          <w:rtl w:val="0"/>
        </w:rPr>
        <w:t>IMS.</w:t>
      </w:r>
      <w:r>
        <w:rPr>
          <w:rStyle w:val="None"/>
          <w:sz w:val="20"/>
          <w:szCs w:val="20"/>
          <w:rtl w:val="0"/>
          <w:lang w:val="en-US"/>
        </w:rPr>
        <w:t xml:space="preserve"> Path: All Food Shopping/Types of Stores HH Shop At/Any </w:t>
      </w:r>
    </w:p>
    <w:p>
      <w:pPr>
        <w:pStyle w:val="Body"/>
        <w:rPr>
          <w:rStyle w:val="Hyperlink.1"/>
          <w:sz w:val="20"/>
          <w:szCs w:val="20"/>
        </w:rPr>
      </w:pPr>
    </w:p>
    <w:p>
      <w:pPr>
        <w:pStyle w:val="Body"/>
        <w:numPr>
          <w:ilvl w:val="0"/>
          <w:numId w:val="14"/>
        </w:numPr>
        <w:bidi w:val="0"/>
        <w:ind w:right="0"/>
        <w:jc w:val="left"/>
        <w:rPr>
          <w:rtl w:val="0"/>
          <w:lang w:val="en-US"/>
        </w:rPr>
      </w:pPr>
      <w:r>
        <w:rPr>
          <w:rStyle w:val="Hyperlink.1"/>
          <w:rtl w:val="0"/>
          <w:lang w:val="en-US"/>
        </w:rPr>
        <w:t xml:space="preserve">67.4% of </w:t>
      </w:r>
      <w:r>
        <w:rPr>
          <w:rStyle w:val="None"/>
          <w:u w:val="single"/>
          <w:rtl w:val="0"/>
          <w:lang w:val="en-US"/>
        </w:rPr>
        <w:t>Loblaws</w:t>
      </w:r>
      <w:r>
        <w:rPr>
          <w:rStyle w:val="Hyperlink.1"/>
          <w:rtl w:val="0"/>
          <w:lang w:val="en-US"/>
        </w:rPr>
        <w:t xml:space="preserve"> consumers have a HHI of $50,000 to $100,000+.</w:t>
      </w:r>
    </w:p>
    <w:p>
      <w:pPr>
        <w:pStyle w:val="Body"/>
        <w:numPr>
          <w:ilvl w:val="0"/>
          <w:numId w:val="14"/>
        </w:numPr>
        <w:bidi w:val="0"/>
        <w:ind w:right="0"/>
        <w:jc w:val="left"/>
        <w:rPr>
          <w:rtl w:val="0"/>
          <w:lang w:val="en-US"/>
        </w:rPr>
      </w:pPr>
      <w:r>
        <w:rPr>
          <w:rStyle w:val="Hyperlink.1"/>
          <w:rtl w:val="0"/>
          <w:lang w:val="en-US"/>
        </w:rPr>
        <w:t xml:space="preserve">Adults with a HHI of $100,000+ makeup 32.8% of </w:t>
      </w:r>
      <w:r>
        <w:rPr>
          <w:rStyle w:val="None"/>
          <w:u w:val="single"/>
          <w:rtl w:val="0"/>
          <w:lang w:val="en-US"/>
        </w:rPr>
        <w:t>Loblaws</w:t>
      </w:r>
      <w:r>
        <w:rPr>
          <w:rStyle w:val="Hyperlink.1"/>
          <w:rtl w:val="0"/>
          <w:lang w:val="en-US"/>
        </w:rPr>
        <w:t xml:space="preserve"> consumer base, and are 7% more likely to purchase again. </w:t>
      </w:r>
    </w:p>
    <w:p>
      <w:pPr>
        <w:pStyle w:val="Heading 3"/>
        <w:rPr>
          <w:rStyle w:val="None"/>
          <w:b w:val="1"/>
          <w:bCs w:val="1"/>
          <w:outline w:val="0"/>
          <w:color w:val="000000"/>
          <w:u w:color="000000"/>
          <w14:textFill>
            <w14:solidFill>
              <w14:srgbClr w14:val="000000"/>
            </w14:solidFill>
          </w14:textFill>
        </w:rPr>
      </w:pPr>
      <w:bookmarkStart w:name="_c3ismxjwmzer" w:id="11"/>
      <w:bookmarkEnd w:id="11"/>
      <w:r>
        <w:rPr>
          <w:rStyle w:val="None"/>
          <w:rFonts w:cs="Arial Unicode MS" w:eastAsia="Arial Unicode MS"/>
          <w:b w:val="1"/>
          <w:bCs w:val="1"/>
          <w:outline w:val="0"/>
          <w:color w:val="000000"/>
          <w:u w:color="000000"/>
          <w:rtl w:val="0"/>
          <w14:textFill>
            <w14:solidFill>
              <w14:srgbClr w14:val="000000"/>
            </w14:solidFill>
          </w14:textFill>
        </w:rPr>
        <w:t>C</w:t>
      </w:r>
      <w:r>
        <w:rPr>
          <w:rStyle w:val="None"/>
          <w:rFonts w:cs="Arial Unicode MS" w:eastAsia="Arial Unicode MS"/>
          <w:b w:val="1"/>
          <w:bCs w:val="1"/>
          <w:outline w:val="0"/>
          <w:color w:val="000000"/>
          <w:u w:color="000000"/>
          <w:rtl w:val="0"/>
          <w:lang w:val="en-US"/>
          <w14:textFill>
            <w14:solidFill>
              <w14:srgbClr w14:val="000000"/>
            </w14:solidFill>
          </w14:textFill>
        </w:rPr>
        <w:t>urrent Users</w:t>
      </w:r>
    </w:p>
    <w:p>
      <w:pPr>
        <w:pStyle w:val="Body"/>
      </w:pPr>
      <w:r>
        <w:rPr>
          <w:rStyle w:val="Hyperlink.1"/>
          <w:rtl w:val="0"/>
          <w:lang w:val="en-US"/>
        </w:rPr>
        <w:t xml:space="preserve">The current users of Loblaws are aged 25-64, have a HHI starting from $50,000 to $100,000+, and are female. </w:t>
      </w:r>
    </w:p>
    <w:p>
      <w:pPr>
        <w:pStyle w:val="Heading 3"/>
        <w:rPr>
          <w:rStyle w:val="None"/>
          <w:b w:val="1"/>
          <w:bCs w:val="1"/>
          <w:outline w:val="0"/>
          <w:color w:val="000000"/>
          <w:u w:color="000000"/>
          <w14:textFill>
            <w14:solidFill>
              <w14:srgbClr w14:val="000000"/>
            </w14:solidFill>
          </w14:textFill>
        </w:rPr>
      </w:pPr>
      <w:bookmarkStart w:name="_ho9c101xp8q3" w:id="12"/>
      <w:bookmarkEnd w:id="12"/>
      <w:r>
        <w:rPr>
          <w:rStyle w:val="None"/>
          <w:rFonts w:cs="Arial Unicode MS" w:eastAsia="Arial Unicode MS"/>
          <w:b w:val="1"/>
          <w:bCs w:val="1"/>
          <w:outline w:val="0"/>
          <w:color w:val="000000"/>
          <w:u w:color="000000"/>
          <w:rtl w:val="0"/>
          <w14:textFill>
            <w14:solidFill>
              <w14:srgbClr w14:val="000000"/>
            </w14:solidFill>
          </w14:textFill>
        </w:rPr>
        <w:t>L</w:t>
      </w:r>
      <w:r>
        <w:rPr>
          <w:rStyle w:val="None"/>
          <w:rFonts w:cs="Arial Unicode MS" w:eastAsia="Arial Unicode MS"/>
          <w:b w:val="1"/>
          <w:bCs w:val="1"/>
          <w:outline w:val="0"/>
          <w:color w:val="000000"/>
          <w:u w:color="000000"/>
          <w:rtl w:val="0"/>
          <w:lang w:val="en-US"/>
          <w14:textFill>
            <w14:solidFill>
              <w14:srgbClr w14:val="000000"/>
            </w14:solidFill>
          </w14:textFill>
        </w:rPr>
        <w:t>eisure Habits/Personal Characteristics</w:t>
      </w:r>
    </w:p>
    <w:p>
      <w:pPr>
        <w:pStyle w:val="Body"/>
      </w:pP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4680"/>
      </w:tblGrid>
      <w:tr>
        <w:tblPrEx>
          <w:shd w:val="clear" w:color="auto" w:fill="ced7e7"/>
        </w:tblPrEx>
        <w:trPr>
          <w:trHeight w:val="493" w:hRule="atLeast"/>
        </w:trPr>
        <w:tc>
          <w:tcPr>
            <w:tcW w:type="dxa" w:w="93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ad1dc"/>
            <w:tcMar>
              <w:top w:type="dxa" w:w="80"/>
              <w:left w:type="dxa" w:w="80"/>
              <w:bottom w:type="dxa" w:w="80"/>
              <w:right w:type="dxa" w:w="80"/>
            </w:tcMar>
            <w:vAlign w:val="top"/>
          </w:tcPr>
          <w:p>
            <w:pPr>
              <w:pStyle w:val="Body"/>
              <w:widowControl w:val="0"/>
              <w:spacing w:line="240" w:lineRule="auto"/>
              <w:jc w:val="center"/>
              <w:rPr>
                <w:rStyle w:val="None"/>
                <w:b w:val="1"/>
                <w:bCs w:val="1"/>
              </w:rPr>
            </w:pPr>
            <w:r>
              <w:rPr>
                <w:rStyle w:val="None"/>
                <w:b w:val="1"/>
                <w:bCs w:val="1"/>
                <w:rtl w:val="0"/>
                <w:lang w:val="en-US"/>
              </w:rPr>
              <w:t>Leisure Habits</w:t>
            </w:r>
          </w:p>
          <w:p>
            <w:pPr>
              <w:pStyle w:val="Body"/>
              <w:widowControl w:val="0"/>
              <w:bidi w:val="0"/>
              <w:spacing w:line="240" w:lineRule="auto"/>
              <w:ind w:left="0" w:right="0" w:firstLine="0"/>
              <w:jc w:val="center"/>
              <w:rPr>
                <w:rtl w:val="0"/>
              </w:rPr>
            </w:pPr>
            <w:r>
              <w:rPr>
                <w:rStyle w:val="None"/>
                <w:b w:val="1"/>
                <w:bCs w:val="1"/>
                <w:rtl w:val="0"/>
                <w:lang w:val="en-US"/>
              </w:rPr>
              <w:t>Personal Characteristics</w:t>
            </w:r>
          </w:p>
        </w:tc>
      </w:tr>
      <w:tr>
        <w:tblPrEx>
          <w:shd w:val="clear" w:color="auto" w:fill="ced7e7"/>
        </w:tblPrEx>
        <w:trPr>
          <w:trHeight w:val="73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Leisure Activities (Summary) [Sewing/Knitting] </w:t>
            </w:r>
            <w:r>
              <w:rPr>
                <w:rStyle w:val="None"/>
                <w:b w:val="1"/>
                <w:bCs w:val="1"/>
                <w:rtl w:val="0"/>
                <w:lang w:val="en-US"/>
              </w:rPr>
              <w:t xml:space="preserve">(Vertical 22.5%, Index 114)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Food Statements [Agree - I have conservative taste in food] </w:t>
            </w:r>
            <w:r>
              <w:rPr>
                <w:rStyle w:val="None"/>
                <w:b w:val="1"/>
                <w:bCs w:val="1"/>
                <w:rtl w:val="0"/>
                <w:lang w:val="en-US"/>
              </w:rPr>
              <w:t xml:space="preserve">(Vertical 38.5%, Index 115) </w:t>
            </w:r>
          </w:p>
        </w:tc>
      </w:tr>
      <w:tr>
        <w:tblPrEx>
          <w:shd w:val="clear" w:color="auto" w:fill="ced7e7"/>
        </w:tblPrEx>
        <w:trPr>
          <w:trHeight w:val="97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 Products/Consumer Durables Statements [Agree - I buy goods produced by own country whenever I can] </w:t>
            </w:r>
            <w:r>
              <w:rPr>
                <w:rStyle w:val="None"/>
                <w:b w:val="1"/>
                <w:bCs w:val="1"/>
                <w:rtl w:val="0"/>
                <w:lang w:val="en-US"/>
              </w:rPr>
              <w:t xml:space="preserve">(Vertical 55.7%, Index 117)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Shopping Statements [Agree - I always use a shopping list] </w:t>
            </w:r>
            <w:r>
              <w:rPr>
                <w:rStyle w:val="None"/>
                <w:b w:val="1"/>
                <w:bCs w:val="1"/>
                <w:rtl w:val="0"/>
                <w:lang w:val="en-US"/>
              </w:rPr>
              <w:t xml:space="preserve">(Vertical 51.5%, Index 113) </w:t>
            </w:r>
          </w:p>
        </w:tc>
      </w:tr>
      <w:tr>
        <w:tblPrEx>
          <w:shd w:val="clear" w:color="auto" w:fill="ced7e7"/>
        </w:tblPrEx>
        <w:trPr>
          <w:trHeight w:val="73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Leisure Activities (Summary) [Gardening] </w:t>
            </w:r>
            <w:r>
              <w:rPr>
                <w:rStyle w:val="None"/>
                <w:b w:val="1"/>
                <w:bCs w:val="1"/>
                <w:rtl w:val="0"/>
                <w:lang w:val="en-US"/>
              </w:rPr>
              <w:t xml:space="preserve">(Vertical 26.7%, Index 106)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Diet/Health Statements [Agree - I always check the nutritional content of food] </w:t>
            </w:r>
            <w:r>
              <w:rPr>
                <w:rStyle w:val="None"/>
                <w:b w:val="1"/>
                <w:bCs w:val="1"/>
                <w:rtl w:val="0"/>
                <w:lang w:val="en-US"/>
              </w:rPr>
              <w:t xml:space="preserve">(Vertical 52%, Index 106) </w:t>
            </w:r>
          </w:p>
        </w:tc>
      </w:tr>
      <w:tr>
        <w:tblPrEx>
          <w:shd w:val="clear" w:color="auto" w:fill="ced7e7"/>
        </w:tblPrEx>
        <w:trPr>
          <w:trHeight w:val="73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Diet/Health Statements [Agree - I am concerned about the health &amp; safety of family] </w:t>
            </w:r>
            <w:r>
              <w:rPr>
                <w:rStyle w:val="None"/>
                <w:b w:val="1"/>
                <w:bCs w:val="1"/>
                <w:rtl w:val="0"/>
                <w:lang w:val="en-US"/>
              </w:rPr>
              <w:t xml:space="preserve">(Vertical 76.4%, Index 103)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b w:val="0"/>
                <w:bCs w:val="0"/>
                <w:rtl w:val="0"/>
                <w:lang w:val="en-US"/>
              </w:rPr>
              <w:t xml:space="preserve">Diet Health Statements [Agree - I always look for light/diet versions of food &amp; drink] </w:t>
            </w:r>
            <w:r>
              <w:rPr>
                <w:rStyle w:val="None"/>
                <w:b w:val="1"/>
                <w:bCs w:val="1"/>
                <w:rtl w:val="0"/>
                <w:lang w:val="en-US"/>
              </w:rPr>
              <w:t xml:space="preserve">(Vertical 41.7%, Index 107) </w:t>
            </w:r>
          </w:p>
        </w:tc>
      </w:tr>
    </w:tbl>
    <w:p>
      <w:pPr>
        <w:pStyle w:val="Body"/>
        <w:widowControl w:val="0"/>
        <w:spacing w:line="240" w:lineRule="auto"/>
        <w:ind w:left="936" w:hanging="936"/>
      </w:pPr>
    </w:p>
    <w:p>
      <w:pPr>
        <w:pStyle w:val="Body"/>
      </w:pPr>
      <w:r>
        <w:rPr>
          <w:rStyle w:val="Hyperlink.1"/>
          <w:rtl w:val="0"/>
          <w:lang w:val="en-US"/>
        </w:rPr>
        <w:t xml:space="preserve">*Lack of indexes over 110 in VIVIDATA report - approved by Colin </w:t>
      </w:r>
    </w:p>
    <w:p>
      <w:pPr>
        <w:pStyle w:val="Heading 3"/>
      </w:pPr>
      <w:bookmarkStart w:name="_lbontpqjtw3z" w:id="13"/>
      <w:bookmarkEnd w:id="13"/>
      <w:r>
        <w:rPr>
          <w:rStyle w:val="None"/>
          <w:rFonts w:cs="Arial Unicode MS" w:eastAsia="Arial Unicode MS"/>
          <w:b w:val="1"/>
          <w:bCs w:val="1"/>
          <w:outline w:val="0"/>
          <w:color w:val="000000"/>
          <w:u w:color="000000"/>
          <w:rtl w:val="0"/>
          <w14:textFill>
            <w14:solidFill>
              <w14:srgbClr w14:val="000000"/>
            </w14:solidFill>
          </w14:textFill>
        </w:rPr>
        <w:t>D</w:t>
      </w:r>
      <w:r>
        <w:rPr>
          <w:rStyle w:val="None"/>
          <w:rFonts w:cs="Arial Unicode MS" w:eastAsia="Arial Unicode MS"/>
          <w:b w:val="1"/>
          <w:bCs w:val="1"/>
          <w:outline w:val="0"/>
          <w:color w:val="000000"/>
          <w:u w:color="000000"/>
          <w:rtl w:val="0"/>
          <w:lang w:val="en-US"/>
          <w14:textFill>
            <w14:solidFill>
              <w14:srgbClr w14:val="000000"/>
            </w14:solidFill>
          </w14:textFill>
        </w:rPr>
        <w:t>ay in a Life</w:t>
      </w:r>
      <w:r>
        <w:rPr>
          <w:rStyle w:val="Hyperlink.1"/>
          <w:rFonts w:cs="Arial Unicode MS" w:eastAsia="Arial Unicode MS"/>
          <w:rtl w:val="0"/>
        </w:rPr>
        <w:t xml:space="preserve"> </w:t>
      </w:r>
    </w:p>
    <w:p>
      <w:pPr>
        <w:pStyle w:val="Body"/>
      </w:pPr>
    </w:p>
    <w:p>
      <w:pPr>
        <w:pStyle w:val="Body"/>
      </w:pPr>
      <w:r>
        <w:rPr>
          <w:rStyle w:val="Hyperlink.1"/>
          <w:rtl w:val="0"/>
          <w:lang w:val="en-US"/>
        </w:rPr>
        <w:t xml:space="preserve">Susan is a 45 year old woman from Milton, Ontario. She works full-time in Advertising and lives a fast-paced lifestyle. At home, Susan has a husband and two teenaged children. Being healthy is a big part of her life, and she has </w:t>
      </w:r>
      <w:r>
        <w:rPr>
          <w:rStyle w:val="None"/>
          <w:u w:val="single"/>
          <w:rtl w:val="0"/>
          <w:lang w:val="en-US"/>
        </w:rPr>
        <w:t>always checked the nutritional content of her food (Vertical 51.49%, Index 113)</w:t>
      </w:r>
      <w:r>
        <w:rPr>
          <w:rStyle w:val="Hyperlink.1"/>
          <w:rtl w:val="0"/>
          <w:lang w:val="en-US"/>
        </w:rPr>
        <w:t xml:space="preserve">. Since she is cautious of of the nutritional content of her food, having </w:t>
      </w:r>
      <w:r>
        <w:rPr>
          <w:rStyle w:val="None"/>
          <w:u w:val="single"/>
          <w:rtl w:val="0"/>
          <w:lang w:val="en-US"/>
        </w:rPr>
        <w:t>light/diet versions of foods and drinks (Vertical 41.74%, Index 107)</w:t>
      </w:r>
      <w:r>
        <w:rPr>
          <w:rStyle w:val="Hyperlink.1"/>
          <w:rtl w:val="0"/>
          <w:lang w:val="en-US"/>
        </w:rPr>
        <w:t xml:space="preserve"> is ideal. </w:t>
      </w:r>
    </w:p>
    <w:p>
      <w:pPr>
        <w:pStyle w:val="Body"/>
      </w:pPr>
    </w:p>
    <w:p>
      <w:pPr>
        <w:pStyle w:val="Body"/>
      </w:pPr>
      <w:r>
        <w:rPr>
          <w:rStyle w:val="Hyperlink.1"/>
          <w:rtl w:val="0"/>
          <w:lang w:val="en-US"/>
        </w:rPr>
        <w:t xml:space="preserve">Susan is a family woman. When looking into buying new products, especially when it comes to food and drink, she is always </w:t>
      </w:r>
      <w:r>
        <w:rPr>
          <w:rStyle w:val="None"/>
          <w:u w:val="single"/>
          <w:rtl w:val="0"/>
          <w:lang w:val="en-US"/>
        </w:rPr>
        <w:t>concerned about the health and safety of her family (Vertical 76.35%, Index 103)</w:t>
      </w:r>
      <w:r>
        <w:rPr>
          <w:rStyle w:val="Hyperlink.1"/>
          <w:rtl w:val="0"/>
          <w:lang w:val="en-US"/>
        </w:rPr>
        <w:t xml:space="preserve">. As a person, Susan is very organized and </w:t>
      </w:r>
      <w:r>
        <w:rPr>
          <w:rStyle w:val="None"/>
          <w:u w:val="single"/>
          <w:rtl w:val="0"/>
          <w:lang w:val="en-US"/>
        </w:rPr>
        <w:t>always uses a list when grocery shopping (Vertical 51.49%, Index 113)</w:t>
      </w:r>
      <w:r>
        <w:rPr>
          <w:rStyle w:val="Hyperlink.1"/>
          <w:rtl w:val="0"/>
          <w:lang w:val="en-US"/>
        </w:rPr>
        <w:t xml:space="preserve">. Due to her mostly organized nature and the kinds of food she has eaten growing up, she has a </w:t>
      </w:r>
      <w:r>
        <w:rPr>
          <w:rStyle w:val="None"/>
          <w:u w:val="single"/>
          <w:rtl w:val="0"/>
          <w:lang w:val="en-US"/>
        </w:rPr>
        <w:t>conservative taste in food (Vertical 38.49%, Index 115)</w:t>
      </w:r>
      <w:r>
        <w:rPr>
          <w:rStyle w:val="Hyperlink.1"/>
          <w:rtl w:val="0"/>
        </w:rPr>
        <w:t xml:space="preserve">. </w:t>
      </w:r>
    </w:p>
    <w:p>
      <w:pPr>
        <w:pStyle w:val="Body"/>
      </w:pPr>
    </w:p>
    <w:p>
      <w:pPr>
        <w:pStyle w:val="Body"/>
      </w:pPr>
      <w:r>
        <w:rPr>
          <w:rStyle w:val="Hyperlink.1"/>
          <w:rtl w:val="0"/>
          <w:lang w:val="en-US"/>
        </w:rPr>
        <w:t xml:space="preserve">During her spare time, Susan like to </w:t>
      </w:r>
      <w:r>
        <w:rPr>
          <w:rStyle w:val="None"/>
          <w:u w:val="single"/>
          <w:rtl w:val="0"/>
          <w:lang w:val="en-US"/>
        </w:rPr>
        <w:t xml:space="preserve">sew, knit (Vertical 22.5%, Index 114), </w:t>
      </w:r>
      <w:r>
        <w:rPr>
          <w:rStyle w:val="Hyperlink.1"/>
          <w:rtl w:val="0"/>
          <w:lang w:val="en-US"/>
        </w:rPr>
        <w:t xml:space="preserve">and </w:t>
      </w:r>
      <w:r>
        <w:rPr>
          <w:rStyle w:val="None"/>
          <w:u w:val="single"/>
          <w:rtl w:val="0"/>
          <w:lang w:val="en-US"/>
        </w:rPr>
        <w:t>garden (Vertical 26.69%, Index 106)</w:t>
      </w:r>
      <w:r>
        <w:rPr>
          <w:rStyle w:val="Hyperlink.1"/>
          <w:rtl w:val="0"/>
          <w:lang w:val="en-US"/>
        </w:rPr>
        <w:t>. On the weekends in the summertime, she likes to go to Main St. for the farmer</w:t>
      </w:r>
      <w:r>
        <w:rPr>
          <w:rStyle w:val="Hyperlink.1"/>
          <w:rtl w:val="1"/>
        </w:rPr>
        <w:t>’</w:t>
      </w:r>
      <w:r>
        <w:rPr>
          <w:rStyle w:val="Hyperlink.1"/>
          <w:rtl w:val="0"/>
          <w:lang w:val="en-US"/>
        </w:rPr>
        <w:t xml:space="preserve">s market. She enjoys local produce, baked goods, and art. As a recent advocate for ethical brands, Susan enjoys to </w:t>
      </w:r>
      <w:r>
        <w:rPr>
          <w:rStyle w:val="None"/>
          <w:u w:val="single"/>
          <w:rtl w:val="0"/>
          <w:lang w:val="en-US"/>
        </w:rPr>
        <w:t>buy goods made in Canada whenever she can (Vertical 55.73%, Index 117)</w:t>
      </w:r>
      <w:r>
        <w:rPr>
          <w:rStyle w:val="Hyperlink.1"/>
          <w:rtl w:val="0"/>
        </w:rPr>
        <w:t xml:space="preserve">. </w:t>
      </w:r>
    </w:p>
    <w:p>
      <w:pPr>
        <w:pStyle w:val="Heading 2"/>
      </w:pPr>
      <w:bookmarkStart w:name="_sat29pxjdo0" w:id="14"/>
      <w:bookmarkEnd w:id="14"/>
      <w:r>
        <w:rPr>
          <w:rStyle w:val="Hyperlink.0"/>
          <w:rFonts w:cs="Arial Unicode MS" w:eastAsia="Arial Unicode MS"/>
          <w:rtl w:val="0"/>
        </w:rPr>
        <w:t>M</w:t>
      </w:r>
      <w:r>
        <w:rPr>
          <w:rStyle w:val="Hyperlink.0"/>
          <w:rFonts w:cs="Arial Unicode MS" w:eastAsia="Arial Unicode MS"/>
          <w:rtl w:val="0"/>
        </w:rPr>
        <w:t>edia Habits</w:t>
      </w:r>
    </w:p>
    <w:tbl>
      <w:tblPr>
        <w:tblW w:w="949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5"/>
        <w:gridCol w:w="810"/>
        <w:gridCol w:w="810"/>
        <w:gridCol w:w="810"/>
        <w:gridCol w:w="825"/>
        <w:gridCol w:w="810"/>
        <w:gridCol w:w="825"/>
        <w:gridCol w:w="810"/>
        <w:gridCol w:w="825"/>
        <w:gridCol w:w="810"/>
        <w:gridCol w:w="825"/>
      </w:tblGrid>
      <w:tr>
        <w:tblPrEx>
          <w:shd w:val="clear" w:color="auto" w:fill="ced7e7"/>
        </w:tblPrEx>
        <w:trPr>
          <w:trHeight w:val="1235" w:hRule="atLeast"/>
        </w:trPr>
        <w:tc>
          <w:tcPr>
            <w:tcW w:type="dxa" w:w="9495"/>
            <w:gridSpan w:val="11"/>
            <w:tcBorders>
              <w:top w:val="single" w:color="000000" w:sz="6" w:space="0" w:shadow="0" w:frame="0"/>
              <w:left w:val="single" w:color="000000" w:sz="6" w:space="0" w:shadow="0" w:frame="0"/>
              <w:bottom w:val="single" w:color="000000" w:sz="6" w:space="0" w:shadow="0" w:frame="0"/>
              <w:right w:val="nil"/>
            </w:tcBorders>
            <w:shd w:val="clear" w:color="auto" w:fill="ffff99"/>
            <w:tcMar>
              <w:top w:type="dxa" w:w="80"/>
              <w:left w:type="dxa" w:w="80"/>
              <w:bottom w:type="dxa" w:w="80"/>
              <w:right w:type="dxa" w:w="80"/>
            </w:tcMar>
            <w:vAlign w:val="top"/>
          </w:tcPr>
          <w:p>
            <w:pPr>
              <w:pStyle w:val="Body"/>
              <w:widowControl w:val="0"/>
              <w:jc w:val="center"/>
              <w:rPr>
                <w:rStyle w:val="None"/>
                <w:b w:val="1"/>
                <w:bCs w:val="1"/>
              </w:rPr>
            </w:pPr>
            <w:r>
              <w:rPr>
                <w:rStyle w:val="None"/>
                <w:b w:val="1"/>
                <w:bCs w:val="1"/>
                <w:rtl w:val="0"/>
                <w:lang w:val="en-US"/>
              </w:rPr>
              <w:t xml:space="preserve">Media Habits </w:t>
            </w:r>
          </w:p>
          <w:p>
            <w:pPr>
              <w:pStyle w:val="Body"/>
              <w:widowControl w:val="0"/>
              <w:bidi w:val="0"/>
              <w:ind w:left="0" w:right="0" w:firstLine="0"/>
              <w:jc w:val="center"/>
              <w:rPr>
                <w:rtl w:val="0"/>
              </w:rPr>
            </w:pPr>
            <w:r>
              <w:rPr>
                <w:rStyle w:val="None"/>
                <w:b w:val="1"/>
                <w:bCs w:val="1"/>
                <w:rtl w:val="0"/>
                <w:lang w:val="en-US"/>
              </w:rPr>
              <w:t>A35-65+, HHI Under $25,000 - $99,000, Male &amp; Female</w:t>
            </w:r>
          </w:p>
        </w:tc>
      </w:tr>
      <w:tr>
        <w:tblPrEx>
          <w:shd w:val="clear" w:color="auto" w:fill="ced7e7"/>
        </w:tblPrEx>
        <w:trPr>
          <w:trHeight w:val="555" w:hRule="atLeast"/>
        </w:trPr>
        <w:tc>
          <w:tcPr>
            <w:tcW w:type="dxa" w:w="1335"/>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TV</w:t>
            </w:r>
          </w:p>
        </w:tc>
        <w:tc>
          <w:tcPr>
            <w:tcW w:type="dxa" w:w="16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Radio</w:t>
            </w:r>
          </w:p>
        </w:tc>
        <w:tc>
          <w:tcPr>
            <w:tcW w:type="dxa" w:w="16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News.</w:t>
            </w:r>
          </w:p>
        </w:tc>
        <w:tc>
          <w:tcPr>
            <w:tcW w:type="dxa" w:w="16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Magazine</w:t>
            </w:r>
          </w:p>
        </w:tc>
        <w:tc>
          <w:tcPr>
            <w:tcW w:type="dxa" w:w="16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Online</w:t>
            </w:r>
          </w:p>
        </w:tc>
      </w:tr>
      <w:tr>
        <w:tblPrEx>
          <w:shd w:val="clear" w:color="auto" w:fill="ced7e7"/>
        </w:tblPrEx>
        <w:trPr>
          <w:trHeight w:val="555" w:hRule="atLeast"/>
        </w:trPr>
        <w:tc>
          <w:tcPr>
            <w:tcW w:type="dxa" w:w="1335"/>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Index</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Index</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Index</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Index</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rtl w:val="0"/>
                <w:lang w:val="en-US"/>
              </w:rPr>
              <w:t>Index</w:t>
            </w:r>
          </w:p>
        </w:tc>
      </w:tr>
      <w:tr>
        <w:tblPrEx>
          <w:shd w:val="clear" w:color="auto" w:fill="ced7e7"/>
        </w:tblPrEx>
        <w:trPr>
          <w:trHeight w:val="555" w:hRule="atLeast"/>
        </w:trPr>
        <w:tc>
          <w:tcPr>
            <w:tcW w:type="dxa" w:w="1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Heavy</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26.22</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133</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20.24</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114</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23.52</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119</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23.08</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117</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12.77</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76</w:t>
            </w:r>
          </w:p>
        </w:tc>
      </w:tr>
      <w:tr>
        <w:tblPrEx>
          <w:shd w:val="clear" w:color="auto" w:fill="ced7e7"/>
        </w:tblPrEx>
        <w:trPr>
          <w:trHeight w:val="555" w:hRule="atLeast"/>
        </w:trPr>
        <w:tc>
          <w:tcPr>
            <w:tcW w:type="dxa" w:w="1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Med/Heavy</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16.69</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107</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16.17</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97</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19.85</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95</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21.1</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105</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11.36</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87</w:t>
            </w:r>
          </w:p>
        </w:tc>
      </w:tr>
      <w:tr>
        <w:tblPrEx>
          <w:shd w:val="clear" w:color="auto" w:fill="ced7e7"/>
        </w:tblPrEx>
        <w:trPr>
          <w:trHeight w:val="555" w:hRule="atLeast"/>
        </w:trPr>
        <w:tc>
          <w:tcPr>
            <w:tcW w:type="dxa" w:w="1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Medium</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23.47</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108</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26.77</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100</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18.55</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96</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20.28</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101</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26.29</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98</w:t>
            </w:r>
          </w:p>
        </w:tc>
      </w:tr>
      <w:tr>
        <w:tblPrEx>
          <w:shd w:val="clear" w:color="auto" w:fill="ced7e7"/>
        </w:tblPrEx>
        <w:trPr>
          <w:trHeight w:val="555" w:hRule="atLeast"/>
        </w:trPr>
        <w:tc>
          <w:tcPr>
            <w:tcW w:type="dxa" w:w="1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Med/Light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18.23</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90</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20.14</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100</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0.34</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82</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18.08</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90</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31.49</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113</w:t>
            </w:r>
          </w:p>
        </w:tc>
      </w:tr>
      <w:tr>
        <w:tblPrEx>
          <w:shd w:val="clear" w:color="auto" w:fill="ced7e7"/>
        </w:tblPrEx>
        <w:trPr>
          <w:trHeight w:val="575" w:hRule="atLeast"/>
        </w:trPr>
        <w:tc>
          <w:tcPr>
            <w:tcW w:type="dxa" w:w="133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Light</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15.4</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68</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16.68</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90</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37.74</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95</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17.46</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87</w:t>
            </w:r>
          </w:p>
        </w:tc>
        <w:tc>
          <w:tcPr>
            <w:tcW w:type="dxa" w:w="8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17.71</w:t>
            </w:r>
          </w:p>
        </w:tc>
        <w:tc>
          <w:tcPr>
            <w:tcW w:type="dxa" w:w="8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4c2f4"/>
            <w:tcMar>
              <w:top w:type="dxa" w:w="80"/>
              <w:left w:type="dxa" w:w="80"/>
              <w:bottom w:type="dxa" w:w="80"/>
              <w:right w:type="dxa" w:w="80"/>
            </w:tcMar>
            <w:vAlign w:val="top"/>
          </w:tcPr>
          <w:p>
            <w:pPr>
              <w:pStyle w:val="Body"/>
              <w:widowControl w:val="0"/>
              <w:jc w:val="right"/>
            </w:pPr>
            <w:r>
              <w:rPr>
                <w:rStyle w:val="None"/>
                <w:rtl w:val="0"/>
                <w:lang w:val="en-US"/>
              </w:rPr>
              <w:t>117</w:t>
            </w:r>
          </w:p>
        </w:tc>
      </w:tr>
    </w:tbl>
    <w:p>
      <w:pPr>
        <w:pStyle w:val="Heading 2"/>
        <w:widowControl w:val="0"/>
        <w:spacing w:line="240" w:lineRule="auto"/>
      </w:pPr>
    </w:p>
    <w:p>
      <w:pPr>
        <w:pStyle w:val="Body"/>
        <w:rPr>
          <w:rStyle w:val="None"/>
          <w:sz w:val="20"/>
          <w:szCs w:val="20"/>
        </w:rPr>
      </w:pPr>
      <w:r>
        <w:rPr>
          <w:rStyle w:val="None"/>
          <w:sz w:val="20"/>
          <w:szCs w:val="20"/>
          <w:rtl w:val="0"/>
          <w:lang w:val="en-US"/>
        </w:rPr>
        <w:t xml:space="preserve">Source: </w:t>
      </w:r>
      <w:r>
        <w:rPr>
          <w:rStyle w:val="None"/>
          <w:sz w:val="20"/>
          <w:szCs w:val="20"/>
          <w:u w:val="single"/>
          <w:rtl w:val="0"/>
        </w:rPr>
        <w:t>VIVIDATA 2017</w:t>
      </w:r>
      <w:r>
        <w:rPr>
          <w:rStyle w:val="None"/>
          <w:sz w:val="20"/>
          <w:szCs w:val="20"/>
          <w:rtl w:val="0"/>
        </w:rPr>
        <w:t xml:space="preserve">. </w:t>
      </w:r>
      <w:r>
        <w:rPr>
          <w:rStyle w:val="None"/>
          <w:sz w:val="20"/>
          <w:szCs w:val="20"/>
          <w:u w:val="single"/>
          <w:rtl w:val="0"/>
          <w:lang w:val="en-US"/>
        </w:rPr>
        <w:t>Clear Decisions</w:t>
      </w:r>
      <w:r>
        <w:rPr>
          <w:rStyle w:val="None"/>
          <w:sz w:val="20"/>
          <w:szCs w:val="20"/>
          <w:rtl w:val="0"/>
        </w:rPr>
        <w:t>.</w:t>
      </w:r>
    </w:p>
    <w:p>
      <w:pPr>
        <w:pStyle w:val="Body"/>
        <w:rPr>
          <w:rStyle w:val="Hyperlink.1"/>
          <w:sz w:val="20"/>
          <w:szCs w:val="20"/>
        </w:rPr>
      </w:pPr>
    </w:p>
    <w:p>
      <w:pPr>
        <w:pStyle w:val="Body"/>
        <w:numPr>
          <w:ilvl w:val="0"/>
          <w:numId w:val="16"/>
        </w:numPr>
        <w:bidi w:val="0"/>
        <w:ind w:right="0"/>
        <w:jc w:val="both"/>
        <w:rPr>
          <w:rtl w:val="0"/>
          <w:lang w:val="en-US"/>
        </w:rPr>
      </w:pPr>
      <w:r>
        <w:rPr>
          <w:rStyle w:val="Hyperlink.1"/>
          <w:rtl w:val="0"/>
          <w:lang w:val="en-US"/>
        </w:rPr>
        <w:t>TV has a total percentage of 42.91% of med/heavy to heavy users.</w:t>
      </w:r>
    </w:p>
    <w:p>
      <w:pPr>
        <w:pStyle w:val="Body"/>
        <w:numPr>
          <w:ilvl w:val="1"/>
          <w:numId w:val="16"/>
        </w:numPr>
        <w:bidi w:val="0"/>
        <w:ind w:right="0"/>
        <w:jc w:val="both"/>
        <w:rPr>
          <w:rtl w:val="0"/>
          <w:lang w:val="en-US"/>
        </w:rPr>
      </w:pPr>
      <w:r>
        <w:rPr>
          <w:rStyle w:val="Hyperlink.1"/>
          <w:rtl w:val="0"/>
          <w:lang w:val="en-US"/>
        </w:rPr>
        <w:t>The target seems to frequent television as majority are heavy users.</w:t>
      </w:r>
    </w:p>
    <w:p>
      <w:pPr>
        <w:pStyle w:val="Body"/>
        <w:jc w:val="both"/>
      </w:pPr>
    </w:p>
    <w:p>
      <w:pPr>
        <w:pStyle w:val="Body"/>
        <w:numPr>
          <w:ilvl w:val="0"/>
          <w:numId w:val="18"/>
        </w:numPr>
        <w:bidi w:val="0"/>
        <w:ind w:right="0"/>
        <w:jc w:val="both"/>
        <w:rPr>
          <w:rtl w:val="0"/>
          <w:lang w:val="en-US"/>
        </w:rPr>
      </w:pPr>
      <w:r>
        <w:rPr>
          <w:rStyle w:val="Hyperlink.1"/>
          <w:rtl w:val="0"/>
          <w:lang w:val="en-US"/>
        </w:rPr>
        <w:t>Radio has a total percentage of 36.41% of med/heavy to heavy users.</w:t>
      </w:r>
    </w:p>
    <w:p>
      <w:pPr>
        <w:pStyle w:val="Body"/>
        <w:numPr>
          <w:ilvl w:val="1"/>
          <w:numId w:val="18"/>
        </w:numPr>
        <w:bidi w:val="0"/>
        <w:ind w:right="0"/>
        <w:jc w:val="both"/>
        <w:rPr>
          <w:rtl w:val="0"/>
          <w:lang w:val="en-US"/>
        </w:rPr>
      </w:pPr>
      <w:r>
        <w:rPr>
          <w:rStyle w:val="Hyperlink.1"/>
          <w:rtl w:val="0"/>
          <w:lang w:val="en-US"/>
        </w:rPr>
        <w:t>The target also frequents Radio as majority of users are heavy and medium users.</w:t>
      </w:r>
    </w:p>
    <w:p>
      <w:pPr>
        <w:pStyle w:val="Body"/>
        <w:ind w:left="1440" w:firstLine="0"/>
        <w:jc w:val="both"/>
      </w:pPr>
    </w:p>
    <w:p>
      <w:pPr>
        <w:pStyle w:val="Body"/>
        <w:numPr>
          <w:ilvl w:val="0"/>
          <w:numId w:val="20"/>
        </w:numPr>
        <w:bidi w:val="0"/>
        <w:ind w:right="0"/>
        <w:jc w:val="both"/>
        <w:rPr>
          <w:rtl w:val="0"/>
          <w:lang w:val="en-US"/>
        </w:rPr>
      </w:pPr>
      <w:r>
        <w:rPr>
          <w:rStyle w:val="Hyperlink.1"/>
          <w:rtl w:val="0"/>
          <w:lang w:val="en-US"/>
        </w:rPr>
        <w:t>Newspaper has a total percentage of 43.37%</w:t>
      </w:r>
    </w:p>
    <w:p>
      <w:pPr>
        <w:pStyle w:val="Body"/>
        <w:numPr>
          <w:ilvl w:val="1"/>
          <w:numId w:val="20"/>
        </w:numPr>
        <w:bidi w:val="0"/>
        <w:ind w:right="0"/>
        <w:jc w:val="both"/>
        <w:rPr>
          <w:rtl w:val="0"/>
          <w:lang w:val="en-US"/>
        </w:rPr>
      </w:pPr>
      <w:r>
        <w:rPr>
          <w:rStyle w:val="Hyperlink.1"/>
          <w:rtl w:val="0"/>
          <w:lang w:val="en-US"/>
        </w:rPr>
        <w:t>Newspaper is dominated by heavy users, it is worth noting that newspaper also has a significant amount of light users with a vertical percent of 37.74% and an index of 95</w:t>
      </w:r>
    </w:p>
    <w:p>
      <w:pPr>
        <w:pStyle w:val="Body"/>
        <w:jc w:val="both"/>
      </w:pPr>
    </w:p>
    <w:p>
      <w:pPr>
        <w:pStyle w:val="Body"/>
        <w:numPr>
          <w:ilvl w:val="0"/>
          <w:numId w:val="22"/>
        </w:numPr>
        <w:bidi w:val="0"/>
        <w:ind w:right="0"/>
        <w:jc w:val="both"/>
        <w:rPr>
          <w:rtl w:val="0"/>
          <w:lang w:val="en-US"/>
        </w:rPr>
      </w:pPr>
      <w:r>
        <w:rPr>
          <w:rStyle w:val="Hyperlink.1"/>
          <w:rtl w:val="0"/>
          <w:lang w:val="en-US"/>
        </w:rPr>
        <w:t>Magazine has a total percentage of 44.18% of med/heavy to heavy users.</w:t>
      </w:r>
    </w:p>
    <w:p>
      <w:pPr>
        <w:pStyle w:val="Body"/>
        <w:jc w:val="both"/>
      </w:pPr>
    </w:p>
    <w:p>
      <w:pPr>
        <w:pStyle w:val="Body"/>
        <w:numPr>
          <w:ilvl w:val="0"/>
          <w:numId w:val="24"/>
        </w:numPr>
        <w:bidi w:val="0"/>
        <w:ind w:right="0"/>
        <w:jc w:val="both"/>
        <w:rPr>
          <w:rtl w:val="0"/>
          <w:lang w:val="en-US"/>
        </w:rPr>
      </w:pPr>
      <w:r>
        <w:rPr>
          <w:rStyle w:val="Hyperlink.1"/>
          <w:rtl w:val="0"/>
          <w:lang w:val="en-US"/>
        </w:rPr>
        <w:t>Online has a total percentage of 49.02% of light and med/light uses</w:t>
      </w:r>
    </w:p>
    <w:p>
      <w:pPr>
        <w:pStyle w:val="Body"/>
        <w:numPr>
          <w:ilvl w:val="1"/>
          <w:numId w:val="24"/>
        </w:numPr>
        <w:bidi w:val="0"/>
        <w:ind w:right="0"/>
        <w:jc w:val="both"/>
        <w:rPr>
          <w:rtl w:val="0"/>
          <w:lang w:val="en-US"/>
        </w:rPr>
      </w:pPr>
      <w:r>
        <w:rPr>
          <w:rStyle w:val="Hyperlink.1"/>
          <w:rtl w:val="0"/>
          <w:lang w:val="en-US"/>
        </w:rPr>
        <w:t>Online  has the most lightest users out of all the media vehicles.</w:t>
      </w:r>
    </w:p>
    <w:p>
      <w:pPr>
        <w:pStyle w:val="Body"/>
        <w:jc w:val="both"/>
      </w:pPr>
    </w:p>
    <w:p>
      <w:pPr>
        <w:pStyle w:val="Body"/>
        <w:numPr>
          <w:ilvl w:val="0"/>
          <w:numId w:val="26"/>
        </w:numPr>
        <w:bidi w:val="0"/>
        <w:ind w:right="0"/>
        <w:jc w:val="both"/>
        <w:rPr>
          <w:rtl w:val="0"/>
          <w:lang w:val="en-US"/>
        </w:rPr>
      </w:pPr>
      <w:r>
        <w:rPr>
          <w:rStyle w:val="Hyperlink.1"/>
          <w:rtl w:val="0"/>
          <w:lang w:val="en-US"/>
        </w:rPr>
        <w:t>Based on the media habits chart and the highlighted key information the recommended media would be TV, radio, newspaper, and magazine.</w:t>
      </w:r>
    </w:p>
    <w:p>
      <w:pPr>
        <w:pStyle w:val="Heading 3"/>
        <w:jc w:val="both"/>
      </w:pPr>
      <w:bookmarkStart w:name="_c5fjqqs30op" w:id="15"/>
      <w:bookmarkEnd w:id="15"/>
      <w:r>
        <w:rPr>
          <w:rStyle w:val="Hyperlink.1"/>
          <w:rtl w:val="0"/>
        </w:rPr>
        <w:t>A</w:t>
      </w:r>
      <w:r>
        <w:rPr>
          <w:rStyle w:val="Hyperlink.1"/>
          <w:rtl w:val="0"/>
          <w:lang w:val="en-US"/>
        </w:rPr>
        <w:t>dditional Data</w:t>
      </w:r>
    </w:p>
    <w:p>
      <w:pPr>
        <w:pStyle w:val="Body"/>
        <w:numPr>
          <w:ilvl w:val="0"/>
          <w:numId w:val="28"/>
        </w:numPr>
        <w:bidi w:val="0"/>
        <w:ind w:right="0"/>
        <w:jc w:val="left"/>
        <w:rPr>
          <w:rtl w:val="0"/>
          <w:lang w:val="en-US"/>
        </w:rPr>
      </w:pPr>
      <w:r>
        <w:rPr>
          <w:rStyle w:val="Hyperlink.1"/>
          <w:rtl w:val="0"/>
          <w:lang w:val="en-US"/>
        </w:rPr>
        <w:t>Based on the clear decisions report the percentage of people who watched tv yesterday is 89.32% and the index is 107.</w:t>
      </w:r>
    </w:p>
    <w:p>
      <w:pPr>
        <w:pStyle w:val="Body"/>
        <w:ind w:left="720" w:firstLine="0"/>
      </w:pPr>
    </w:p>
    <w:p>
      <w:pPr>
        <w:pStyle w:val="Body"/>
        <w:numPr>
          <w:ilvl w:val="0"/>
          <w:numId w:val="28"/>
        </w:numPr>
        <w:bidi w:val="0"/>
        <w:ind w:right="0"/>
        <w:jc w:val="left"/>
        <w:rPr>
          <w:rtl w:val="0"/>
          <w:lang w:val="en-US"/>
        </w:rPr>
      </w:pPr>
      <w:r>
        <w:rPr>
          <w:rStyle w:val="Hyperlink.1"/>
          <w:rtl w:val="0"/>
          <w:lang w:val="en-US"/>
        </w:rPr>
        <w:t>Based on the clear decisions report the percentage of people who listened to the radio within the past week is 87.71% and the index is at 102.</w:t>
      </w:r>
    </w:p>
    <w:p>
      <w:pPr>
        <w:pStyle w:val="Body"/>
      </w:pPr>
    </w:p>
    <w:p>
      <w:pPr>
        <w:pStyle w:val="Body"/>
        <w:numPr>
          <w:ilvl w:val="0"/>
          <w:numId w:val="30"/>
        </w:numPr>
        <w:bidi w:val="0"/>
        <w:ind w:right="0"/>
        <w:jc w:val="left"/>
        <w:rPr>
          <w:rtl w:val="0"/>
          <w:lang w:val="en-US"/>
        </w:rPr>
      </w:pPr>
      <w:r>
        <w:rPr>
          <w:rStyle w:val="Hyperlink.1"/>
          <w:rtl w:val="0"/>
          <w:lang w:val="en-US"/>
        </w:rPr>
        <w:t>Based on the clear decisions report a significant amount of the target has never used public transit with a vertical percent of 27.37% and an index of 130</w:t>
      </w:r>
    </w:p>
    <w:p>
      <w:pPr>
        <w:pStyle w:val="Body"/>
        <w:ind w:left="720" w:firstLine="0"/>
      </w:pPr>
    </w:p>
    <w:p>
      <w:pPr>
        <w:pStyle w:val="Body"/>
        <w:numPr>
          <w:ilvl w:val="0"/>
          <w:numId w:val="32"/>
        </w:numPr>
        <w:bidi w:val="0"/>
        <w:ind w:right="0"/>
        <w:jc w:val="left"/>
        <w:rPr>
          <w:rtl w:val="0"/>
          <w:lang w:val="en-US"/>
        </w:rPr>
      </w:pPr>
      <w:r>
        <w:rPr>
          <w:rStyle w:val="Hyperlink.1"/>
          <w:rtl w:val="0"/>
          <w:lang w:val="en-US"/>
        </w:rPr>
        <w:t>A significant amount of the target has travelled in town within the past 7 days  in a car/truck at around 75-99km.  The vertical percentage is 9.32% and the index is 110.  This signifies that there are a heavy amount of users that have travelled in-town</w:t>
      </w:r>
    </w:p>
    <w:p>
      <w:pPr>
        <w:pStyle w:val="Heading 2"/>
        <w:rPr>
          <w:rStyle w:val="Hyperlink.0"/>
        </w:rPr>
      </w:pPr>
      <w:bookmarkStart w:name="_l551nn6x8jpz" w:id="16"/>
      <w:bookmarkEnd w:id="16"/>
      <w:r>
        <w:rPr>
          <w:rStyle w:val="Hyperlink.0"/>
          <w:rFonts w:cs="Arial Unicode MS" w:eastAsia="Arial Unicode MS"/>
          <w:rtl w:val="0"/>
        </w:rPr>
        <w:t>G</w:t>
      </w:r>
      <w:r>
        <w:rPr>
          <w:rStyle w:val="Hyperlink.0"/>
          <w:rFonts w:cs="Arial Unicode MS" w:eastAsia="Arial Unicode MS"/>
          <w:rtl w:val="0"/>
          <w:lang w:val="en-US"/>
        </w:rPr>
        <w:t>eography</w:t>
      </w:r>
    </w:p>
    <w:p>
      <w:pPr>
        <w:pStyle w:val="Body"/>
      </w:pPr>
    </w:p>
    <w:tbl>
      <w:tblPr>
        <w:tblW w:w="935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37"/>
        <w:gridCol w:w="1337"/>
        <w:gridCol w:w="1336"/>
        <w:gridCol w:w="1338"/>
        <w:gridCol w:w="1337"/>
        <w:gridCol w:w="1337"/>
        <w:gridCol w:w="1337"/>
      </w:tblGrid>
      <w:tr>
        <w:tblPrEx>
          <w:shd w:val="clear" w:color="auto" w:fill="ced7e7"/>
        </w:tblPrEx>
        <w:trPr>
          <w:trHeight w:val="460" w:hRule="atLeast"/>
        </w:trPr>
        <w:tc>
          <w:tcPr>
            <w:tcW w:type="dxa" w:w="9359"/>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fa8dc"/>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Grocery Shopping at Any Store</w:t>
            </w:r>
          </w:p>
        </w:tc>
      </w:tr>
      <w:tr>
        <w:tblPrEx>
          <w:shd w:val="clear" w:color="auto" w:fill="ced7e7"/>
        </w:tblPrEx>
        <w:trPr>
          <w:trHeight w:val="49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Region</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CDN POP%</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Category Users %</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Brand Users</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CDI</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BDI</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c78d8"/>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BOI</w:t>
            </w:r>
          </w:p>
        </w:tc>
      </w:tr>
      <w:tr>
        <w:tblPrEx>
          <w:shd w:val="clear" w:color="auto" w:fill="ced7e7"/>
        </w:tblPrEx>
        <w:trPr>
          <w:trHeight w:val="25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Atlantic</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6.71</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7.16</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7.6</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107</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113</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95</w:t>
            </w:r>
          </w:p>
        </w:tc>
      </w:tr>
      <w:tr>
        <w:tblPrEx>
          <w:shd w:val="clear" w:color="auto" w:fill="ced7e7"/>
        </w:tblPrEx>
        <w:trPr>
          <w:trHeight w:val="25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Quebec</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23.20</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24.57</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19.2</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80"/>
              <w:left w:type="dxa" w:w="80"/>
              <w:bottom w:type="dxa" w:w="80"/>
              <w:right w:type="dxa" w:w="80"/>
            </w:tcMar>
            <w:vAlign w:val="top"/>
          </w:tcPr>
          <w:p>
            <w:pPr>
              <w:pStyle w:val="Body"/>
              <w:widowControl w:val="0"/>
              <w:spacing w:line="240" w:lineRule="auto"/>
              <w:jc w:val="right"/>
            </w:pPr>
            <w:r>
              <w:rPr>
                <w:rStyle w:val="None"/>
                <w:rtl w:val="0"/>
                <w:lang w:val="en-US"/>
              </w:rPr>
              <w:t>106</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83</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80"/>
              <w:left w:type="dxa" w:w="80"/>
              <w:bottom w:type="dxa" w:w="80"/>
              <w:right w:type="dxa" w:w="80"/>
            </w:tcMar>
            <w:vAlign w:val="top"/>
          </w:tcPr>
          <w:p>
            <w:pPr>
              <w:pStyle w:val="Body"/>
              <w:widowControl w:val="0"/>
              <w:spacing w:line="240" w:lineRule="auto"/>
              <w:jc w:val="right"/>
            </w:pPr>
            <w:r>
              <w:rPr>
                <w:rStyle w:val="None"/>
                <w:rtl w:val="0"/>
                <w:lang w:val="en-US"/>
              </w:rPr>
              <w:t>128</w:t>
            </w:r>
          </w:p>
        </w:tc>
      </w:tr>
      <w:tr>
        <w:tblPrEx>
          <w:shd w:val="clear" w:color="auto" w:fill="ced7e7"/>
        </w:tblPrEx>
        <w:trPr>
          <w:trHeight w:val="25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Ontario</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38.68</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37.37</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80"/>
              <w:left w:type="dxa" w:w="80"/>
              <w:bottom w:type="dxa" w:w="80"/>
              <w:right w:type="dxa" w:w="80"/>
            </w:tcMar>
            <w:vAlign w:val="top"/>
          </w:tcPr>
          <w:p>
            <w:pPr>
              <w:pStyle w:val="Body"/>
              <w:widowControl w:val="0"/>
              <w:spacing w:line="240" w:lineRule="auto"/>
              <w:jc w:val="right"/>
            </w:pPr>
            <w:r>
              <w:rPr>
                <w:rStyle w:val="None"/>
                <w:rtl w:val="0"/>
                <w:lang w:val="en-US"/>
              </w:rPr>
              <w:t>61.4</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96</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69138"/>
            <w:tcMar>
              <w:top w:type="dxa" w:w="80"/>
              <w:left w:type="dxa" w:w="80"/>
              <w:bottom w:type="dxa" w:w="80"/>
              <w:right w:type="dxa" w:w="80"/>
            </w:tcMar>
            <w:vAlign w:val="top"/>
          </w:tcPr>
          <w:p>
            <w:pPr>
              <w:pStyle w:val="Body"/>
              <w:widowControl w:val="0"/>
              <w:spacing w:line="240" w:lineRule="auto"/>
              <w:jc w:val="right"/>
            </w:pPr>
            <w:r>
              <w:rPr>
                <w:rStyle w:val="None"/>
                <w:rtl w:val="0"/>
                <w:lang w:val="en-US"/>
              </w:rPr>
              <w:t>159</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60</w:t>
            </w:r>
          </w:p>
        </w:tc>
      </w:tr>
      <w:tr>
        <w:tblPrEx>
          <w:shd w:val="clear" w:color="auto" w:fill="ced7e7"/>
        </w:tblPrEx>
        <w:trPr>
          <w:trHeight w:val="25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Prairies</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18.11</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17.94</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5.4</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99</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30</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330</w:t>
            </w:r>
          </w:p>
        </w:tc>
      </w:tr>
      <w:tr>
        <w:tblPrEx>
          <w:shd w:val="clear" w:color="auto" w:fill="ced7e7"/>
        </w:tblPrEx>
        <w:trPr>
          <w:trHeight w:val="253" w:hRule="atLeast"/>
        </w:trPr>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 xml:space="preserve">BC </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13.31</w:t>
            </w:r>
          </w:p>
        </w:tc>
        <w:tc>
          <w:tcPr>
            <w:tcW w:type="dxa" w:w="133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12.96</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6.4</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97</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48</w:t>
            </w:r>
          </w:p>
        </w:tc>
        <w:tc>
          <w:tcPr>
            <w:tcW w:type="dxa" w:w="13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e599"/>
            <w:tcMar>
              <w:top w:type="dxa" w:w="80"/>
              <w:left w:type="dxa" w:w="80"/>
              <w:bottom w:type="dxa" w:w="80"/>
              <w:right w:type="dxa" w:w="80"/>
            </w:tcMar>
            <w:vAlign w:val="top"/>
          </w:tcPr>
          <w:p>
            <w:pPr>
              <w:pStyle w:val="Body"/>
              <w:widowControl w:val="0"/>
              <w:spacing w:line="240" w:lineRule="auto"/>
              <w:jc w:val="right"/>
            </w:pPr>
            <w:r>
              <w:rPr>
                <w:rStyle w:val="None"/>
                <w:rtl w:val="0"/>
                <w:lang w:val="en-US"/>
              </w:rPr>
              <w:t>202</w:t>
            </w:r>
          </w:p>
        </w:tc>
      </w:tr>
    </w:tbl>
    <w:p>
      <w:pPr>
        <w:pStyle w:val="Body"/>
        <w:widowControl w:val="0"/>
        <w:spacing w:line="240" w:lineRule="auto"/>
        <w:jc w:val="center"/>
      </w:pPr>
    </w:p>
    <w:p>
      <w:pPr>
        <w:pStyle w:val="Body"/>
        <w:rPr>
          <w:rStyle w:val="None"/>
          <w:sz w:val="20"/>
          <w:szCs w:val="20"/>
        </w:rPr>
      </w:pPr>
      <w:r>
        <w:rPr>
          <w:rStyle w:val="None"/>
          <w:sz w:val="20"/>
          <w:szCs w:val="20"/>
          <w:rtl w:val="0"/>
          <w:lang w:val="en-US"/>
        </w:rPr>
        <w:t xml:space="preserve">Source: </w:t>
      </w:r>
      <w:r>
        <w:rPr>
          <w:rStyle w:val="None"/>
          <w:sz w:val="20"/>
          <w:szCs w:val="20"/>
          <w:u w:val="single"/>
          <w:rtl w:val="0"/>
        </w:rPr>
        <w:t>VIVIDATA 2017</w:t>
      </w:r>
      <w:r>
        <w:rPr>
          <w:rStyle w:val="None"/>
          <w:sz w:val="20"/>
          <w:szCs w:val="20"/>
          <w:rtl w:val="0"/>
        </w:rPr>
        <w:t xml:space="preserve">. </w:t>
      </w:r>
      <w:r>
        <w:rPr>
          <w:rStyle w:val="None"/>
          <w:sz w:val="20"/>
          <w:szCs w:val="20"/>
          <w:u w:val="single"/>
          <w:rtl w:val="0"/>
          <w:lang w:val="en-US"/>
        </w:rPr>
        <w:t>Clear Decisions</w:t>
      </w:r>
      <w:r>
        <w:rPr>
          <w:rStyle w:val="None"/>
          <w:sz w:val="20"/>
          <w:szCs w:val="20"/>
          <w:rtl w:val="0"/>
        </w:rPr>
        <w:t>.</w:t>
      </w:r>
    </w:p>
    <w:p>
      <w:pPr>
        <w:pStyle w:val="Body"/>
      </w:pPr>
    </w:p>
    <w:p>
      <w:pPr>
        <w:pStyle w:val="Body"/>
        <w:numPr>
          <w:ilvl w:val="0"/>
          <w:numId w:val="34"/>
        </w:numPr>
        <w:bidi w:val="0"/>
        <w:ind w:right="0"/>
        <w:jc w:val="left"/>
        <w:rPr>
          <w:rtl w:val="0"/>
          <w:lang w:val="en-US"/>
        </w:rPr>
      </w:pPr>
      <w:r>
        <w:rPr>
          <w:rStyle w:val="Hyperlink.1"/>
          <w:rtl w:val="0"/>
          <w:lang w:val="en-US"/>
        </w:rPr>
        <w:t xml:space="preserve">The BDI for Ontario is 159. This means that a lot of Ontario based Canadian buy groceries from </w:t>
      </w:r>
      <w:r>
        <w:rPr>
          <w:rStyle w:val="None"/>
          <w:u w:val="single"/>
          <w:rtl w:val="0"/>
          <w:lang w:val="en-US"/>
        </w:rPr>
        <w:t>Loblaws</w:t>
      </w:r>
      <w:r>
        <w:rPr>
          <w:rStyle w:val="Hyperlink.1"/>
          <w:rtl w:val="0"/>
        </w:rPr>
        <w:t xml:space="preserve">. </w:t>
      </w:r>
    </w:p>
    <w:p>
      <w:pPr>
        <w:pStyle w:val="Body"/>
        <w:numPr>
          <w:ilvl w:val="0"/>
          <w:numId w:val="34"/>
        </w:numPr>
        <w:bidi w:val="0"/>
        <w:ind w:right="0"/>
        <w:jc w:val="left"/>
        <w:rPr>
          <w:rtl w:val="0"/>
          <w:lang w:val="en-US"/>
        </w:rPr>
      </w:pPr>
      <w:r>
        <w:rPr>
          <w:rStyle w:val="Hyperlink.1"/>
          <w:rtl w:val="0"/>
          <w:lang w:val="en-US"/>
        </w:rPr>
        <w:t xml:space="preserve">Although Ontario is higher in population and in brand development, Canadians in the Atlantic region are 11 percentage points more likely to buy groceries than in Ontario. </w:t>
      </w:r>
    </w:p>
    <w:p>
      <w:pPr>
        <w:pStyle w:val="Body"/>
        <w:numPr>
          <w:ilvl w:val="0"/>
          <w:numId w:val="34"/>
        </w:numPr>
        <w:bidi w:val="0"/>
        <w:ind w:right="0"/>
        <w:jc w:val="left"/>
        <w:rPr>
          <w:rtl w:val="0"/>
          <w:lang w:val="en-US"/>
        </w:rPr>
      </w:pPr>
      <w:r>
        <w:rPr>
          <w:rStyle w:val="Hyperlink.1"/>
          <w:rtl w:val="0"/>
          <w:lang w:val="en-US"/>
        </w:rPr>
        <w:t xml:space="preserve">The brand opportunity index in the Prairies is 330 (which is quite high), but has relatively low CDI and BDI. The CDI being at 99, while the BDI is at 30. </w:t>
      </w:r>
    </w:p>
    <w:p>
      <w:pPr>
        <w:pStyle w:val="Body"/>
        <w:numPr>
          <w:ilvl w:val="0"/>
          <w:numId w:val="34"/>
        </w:numPr>
        <w:bidi w:val="0"/>
        <w:ind w:right="0"/>
        <w:jc w:val="left"/>
        <w:rPr>
          <w:rtl w:val="0"/>
          <w:lang w:val="en-US"/>
        </w:rPr>
      </w:pPr>
      <w:r>
        <w:rPr>
          <w:rStyle w:val="Hyperlink.1"/>
          <w:rtl w:val="0"/>
          <w:lang w:val="en-US"/>
        </w:rPr>
        <w:t>There is high brand opportunity in the BC region due to the high BOI at 202.</w:t>
      </w:r>
    </w:p>
    <w:p>
      <w:pPr>
        <w:pStyle w:val="Body"/>
        <w:numPr>
          <w:ilvl w:val="0"/>
          <w:numId w:val="34"/>
        </w:numPr>
        <w:bidi w:val="0"/>
        <w:ind w:right="0"/>
        <w:jc w:val="left"/>
        <w:rPr>
          <w:rtl w:val="0"/>
          <w:lang w:val="en-US"/>
        </w:rPr>
      </w:pPr>
      <w:r>
        <w:rPr>
          <w:rStyle w:val="Hyperlink.1"/>
          <w:rtl w:val="0"/>
          <w:lang w:val="en-US"/>
        </w:rPr>
        <w:t xml:space="preserve">People in the BC region are more likely to shop at groceries, but less likely to shop at </w:t>
      </w:r>
      <w:r>
        <w:rPr>
          <w:rStyle w:val="None"/>
          <w:u w:val="single"/>
          <w:rtl w:val="0"/>
          <w:lang w:val="en-US"/>
        </w:rPr>
        <w:t>Loblaws</w:t>
      </w:r>
      <w:r>
        <w:rPr>
          <w:rStyle w:val="Hyperlink.1"/>
          <w:rtl w:val="0"/>
        </w:rPr>
        <w:t xml:space="preserve">. </w:t>
      </w:r>
    </w:p>
    <w:p>
      <w:pPr>
        <w:pStyle w:val="Body"/>
        <w:numPr>
          <w:ilvl w:val="0"/>
          <w:numId w:val="34"/>
        </w:numPr>
        <w:bidi w:val="0"/>
        <w:ind w:right="0"/>
        <w:jc w:val="left"/>
        <w:rPr>
          <w:rtl w:val="0"/>
          <w:lang w:val="en-US"/>
        </w:rPr>
      </w:pPr>
      <w:r>
        <w:rPr>
          <w:rStyle w:val="Hyperlink.1"/>
          <w:rtl w:val="0"/>
          <w:lang w:val="en-US"/>
        </w:rPr>
        <w:t xml:space="preserve">In the Atlantic region, there is a CDI of 107 and a BDI of 113. Having both high BDI and CDI means that </w:t>
      </w:r>
      <w:r>
        <w:rPr>
          <w:rStyle w:val="None"/>
          <w:u w:val="single"/>
          <w:rtl w:val="0"/>
          <w:lang w:val="en-US"/>
        </w:rPr>
        <w:t>Loblaws</w:t>
      </w:r>
      <w:r>
        <w:rPr>
          <w:rStyle w:val="Hyperlink.1"/>
          <w:rtl w:val="0"/>
          <w:lang w:val="en-US"/>
        </w:rPr>
        <w:t xml:space="preserve"> has to act both aggressively and defensively in the Canadian Atlantic market. </w:t>
      </w:r>
    </w:p>
    <w:p>
      <w:pPr>
        <w:pStyle w:val="Body"/>
        <w:numPr>
          <w:ilvl w:val="0"/>
          <w:numId w:val="34"/>
        </w:numPr>
        <w:bidi w:val="0"/>
        <w:ind w:right="0"/>
        <w:jc w:val="left"/>
        <w:rPr>
          <w:rtl w:val="0"/>
          <w:lang w:val="en-US"/>
        </w:rPr>
      </w:pPr>
      <w:r>
        <w:rPr>
          <w:rStyle w:val="Hyperlink.1"/>
          <w:rtl w:val="0"/>
          <w:lang w:val="en-US"/>
        </w:rPr>
        <w:t xml:space="preserve">Quebec is a great region for </w:t>
      </w:r>
      <w:r>
        <w:rPr>
          <w:rStyle w:val="None"/>
          <w:u w:val="single"/>
          <w:rtl w:val="0"/>
          <w:lang w:val="en-US"/>
        </w:rPr>
        <w:t>Loblaws</w:t>
      </w:r>
      <w:r>
        <w:rPr>
          <w:rStyle w:val="Hyperlink.1"/>
          <w:rtl w:val="0"/>
          <w:lang w:val="en-US"/>
        </w:rPr>
        <w:t xml:space="preserve"> to target due to the relatively even BDI,CDI, and BOI.  The region has a CDI of 106, a BDI of 83, and a BOI a high as 128. </w:t>
      </w:r>
    </w:p>
    <w:p>
      <w:pPr>
        <w:pStyle w:val="Heading 3"/>
        <w:rPr>
          <w:rStyle w:val="None"/>
          <w:sz w:val="20"/>
          <w:szCs w:val="20"/>
        </w:rPr>
      </w:pPr>
      <w:bookmarkStart w:name="_mcyj0q0l8o1" w:id="17"/>
      <w:bookmarkEnd w:id="17"/>
      <w:r>
        <w:rPr>
          <w:rStyle w:val="None"/>
          <w:rFonts w:cs="Arial Unicode MS" w:eastAsia="Arial Unicode MS"/>
          <w:u w:val="single"/>
          <w:rtl w:val="0"/>
        </w:rPr>
        <w:t>G</w:t>
      </w:r>
      <w:r>
        <w:rPr>
          <w:rStyle w:val="None"/>
          <w:rFonts w:cs="Arial Unicode MS" w:eastAsia="Arial Unicode MS"/>
          <w:u w:val="single"/>
          <w:rtl w:val="0"/>
          <w:lang w:val="en-US"/>
        </w:rPr>
        <w:t xml:space="preserve">eographic Priorities </w:t>
      </w:r>
    </w:p>
    <w:p>
      <w:pPr>
        <w:pStyle w:val="Body"/>
        <w:rPr>
          <w:rStyle w:val="Hyperlink.1"/>
          <w:sz w:val="20"/>
          <w:szCs w:val="20"/>
        </w:rPr>
      </w:pP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4680"/>
      </w:tblGrid>
      <w:tr>
        <w:tblPrEx>
          <w:shd w:val="clear" w:color="auto" w:fill="ced7e7"/>
        </w:tblPrEx>
        <w:trPr>
          <w:trHeight w:val="460" w:hRule="atLeast"/>
        </w:trPr>
        <w:tc>
          <w:tcPr>
            <w:tcW w:type="dxa" w:w="93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3d85c6"/>
            <w:tcMar>
              <w:top w:type="dxa" w:w="80"/>
              <w:left w:type="dxa" w:w="80"/>
              <w:bottom w:type="dxa" w:w="80"/>
              <w:right w:type="dxa" w:w="80"/>
            </w:tcMar>
            <w:vAlign w:val="top"/>
          </w:tcPr>
          <w:p>
            <w:pPr>
              <w:pStyle w:val="Body"/>
              <w:widowControl w:val="0"/>
              <w:spacing w:line="240" w:lineRule="auto"/>
              <w:jc w:val="center"/>
            </w:pPr>
            <w:r>
              <w:rPr>
                <w:rStyle w:val="None"/>
                <w:b w:val="1"/>
                <w:bCs w:val="1"/>
                <w:rtl w:val="0"/>
                <w:lang w:val="en-US"/>
              </w:rPr>
              <w:t>Number of Loblaws Stores Based On Region</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9fc5e8"/>
            <w:tcMar>
              <w:top w:type="dxa" w:w="80"/>
              <w:left w:type="dxa" w:w="80"/>
              <w:bottom w:type="dxa" w:w="80"/>
              <w:right w:type="dxa" w:w="80"/>
            </w:tcMar>
            <w:vAlign w:val="top"/>
          </w:tcPr>
          <w:p>
            <w:pPr>
              <w:pStyle w:val="Body"/>
              <w:widowControl w:val="0"/>
              <w:spacing w:line="240" w:lineRule="auto"/>
            </w:pPr>
            <w:r>
              <w:rPr>
                <w:rStyle w:val="None"/>
                <w:b w:val="1"/>
                <w:bCs w:val="1"/>
                <w:rtl w:val="0"/>
                <w:lang w:val="en-US"/>
              </w:rPr>
              <w:t>Region</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9fc5e8"/>
            <w:tcMar>
              <w:top w:type="dxa" w:w="80"/>
              <w:left w:type="dxa" w:w="80"/>
              <w:bottom w:type="dxa" w:w="80"/>
              <w:right w:type="dxa" w:w="80"/>
            </w:tcMar>
            <w:vAlign w:val="top"/>
          </w:tcPr>
          <w:p>
            <w:pPr>
              <w:pStyle w:val="Body"/>
              <w:widowControl w:val="0"/>
              <w:spacing w:line="240" w:lineRule="auto"/>
            </w:pPr>
            <w:r>
              <w:rPr>
                <w:rStyle w:val="None"/>
                <w:b w:val="1"/>
                <w:bCs w:val="1"/>
                <w:rtl w:val="0"/>
                <w:lang w:val="en-US"/>
              </w:rPr>
              <w:t>Locations</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Atlantic</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0</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Quebec</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spacing w:line="240" w:lineRule="auto"/>
              <w:jc w:val="right"/>
            </w:pPr>
            <w:r>
              <w:rPr>
                <w:rStyle w:val="None"/>
                <w:rtl w:val="0"/>
                <w:lang w:val="en-US"/>
              </w:rPr>
              <w:t>46</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Ontario</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9cb9c"/>
            <w:tcMar>
              <w:top w:type="dxa" w:w="80"/>
              <w:left w:type="dxa" w:w="80"/>
              <w:bottom w:type="dxa" w:w="80"/>
              <w:right w:type="dxa" w:w="80"/>
            </w:tcMar>
            <w:vAlign w:val="top"/>
          </w:tcPr>
          <w:p>
            <w:pPr>
              <w:pStyle w:val="Body"/>
              <w:widowControl w:val="0"/>
              <w:spacing w:line="240" w:lineRule="auto"/>
              <w:jc w:val="right"/>
            </w:pPr>
            <w:r>
              <w:rPr>
                <w:rStyle w:val="None"/>
                <w:rtl w:val="0"/>
                <w:lang w:val="en-US"/>
              </w:rPr>
              <w:t>34</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Prairies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0</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rtl w:val="0"/>
                <w:lang w:val="en-US"/>
              </w:rPr>
              <w:t>BC</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right"/>
            </w:pPr>
            <w:r>
              <w:rPr>
                <w:rStyle w:val="None"/>
                <w:rtl w:val="0"/>
                <w:lang w:val="en-US"/>
              </w:rPr>
              <w:t>3</w:t>
            </w:r>
          </w:p>
        </w:tc>
      </w:tr>
    </w:tbl>
    <w:p>
      <w:pPr>
        <w:pStyle w:val="Body"/>
        <w:widowControl w:val="0"/>
        <w:spacing w:line="240" w:lineRule="auto"/>
        <w:ind w:left="936" w:hanging="936"/>
      </w:pPr>
    </w:p>
    <w:p>
      <w:pPr>
        <w:pStyle w:val="Body"/>
        <w:rPr>
          <w:rStyle w:val="None"/>
          <w:u w:val="single"/>
        </w:rPr>
      </w:pPr>
      <w:r>
        <w:rPr>
          <w:rStyle w:val="Hyperlink.1"/>
          <w:rtl w:val="0"/>
          <w:lang w:val="en-US"/>
        </w:rPr>
        <w:t xml:space="preserve">Source: </w:t>
      </w:r>
      <w:r>
        <w:rPr>
          <w:rStyle w:val="None"/>
          <w:u w:val="single"/>
          <w:rtl w:val="0"/>
          <w:lang w:val="en-US"/>
        </w:rPr>
        <w:t>Loblaws Store Locator 2018.</w:t>
      </w:r>
    </w:p>
    <w:p>
      <w:pPr>
        <w:pStyle w:val="Body"/>
      </w:pPr>
    </w:p>
    <w:p>
      <w:pPr>
        <w:pStyle w:val="heading 4"/>
        <w:rPr>
          <w:rStyle w:val="None"/>
          <w:b w:val="1"/>
          <w:bCs w:val="1"/>
          <w:outline w:val="0"/>
          <w:color w:val="000000"/>
          <w:u w:color="000000"/>
          <w14:textFill>
            <w14:solidFill>
              <w14:srgbClr w14:val="000000"/>
            </w14:solidFill>
          </w14:textFill>
        </w:rPr>
      </w:pPr>
      <w:bookmarkStart w:name="_ksnm3pkvjey" w:id="18"/>
      <w:bookmarkEnd w:id="18"/>
      <w:r>
        <w:rPr>
          <w:rStyle w:val="None"/>
          <w:rFonts w:cs="Arial Unicode MS" w:eastAsia="Arial Unicode MS"/>
          <w:b w:val="1"/>
          <w:bCs w:val="1"/>
          <w:outline w:val="0"/>
          <w:color w:val="000000"/>
          <w:u w:color="000000"/>
          <w:rtl w:val="0"/>
          <w:lang w:val="en-US"/>
          <w14:textFill>
            <w14:solidFill>
              <w14:srgbClr w14:val="000000"/>
            </w14:solidFill>
          </w14:textFill>
        </w:rPr>
        <w:t>P</w:t>
      </w:r>
      <w:r>
        <w:rPr>
          <w:rStyle w:val="None"/>
          <w:rFonts w:cs="Arial Unicode MS" w:eastAsia="Arial Unicode MS"/>
          <w:b w:val="1"/>
          <w:bCs w:val="1"/>
          <w:outline w:val="0"/>
          <w:color w:val="000000"/>
          <w:u w:color="000000"/>
          <w:rtl w:val="0"/>
          <w:lang w:val="en-US"/>
          <w14:textFill>
            <w14:solidFill>
              <w14:srgbClr w14:val="000000"/>
            </w14:solidFill>
          </w14:textFill>
        </w:rPr>
        <w:t>riority #1: Quebec</w:t>
      </w:r>
    </w:p>
    <w:p>
      <w:pPr>
        <w:pStyle w:val="Body"/>
      </w:pPr>
      <w:r>
        <w:rPr>
          <w:rStyle w:val="Hyperlink.1"/>
          <w:rtl w:val="0"/>
          <w:lang w:val="en-US"/>
        </w:rPr>
        <w:t xml:space="preserve">Quebec is the most ideal region to target due to its high number of stores (45 to be exact) as well as high BOI. There is a good amount of stores in the region to make </w:t>
      </w:r>
      <w:r>
        <w:rPr>
          <w:rStyle w:val="None"/>
          <w:u w:val="single"/>
          <w:rtl w:val="0"/>
          <w:lang w:val="en-US"/>
        </w:rPr>
        <w:t>Loblaws</w:t>
      </w:r>
      <w:r>
        <w:rPr>
          <w:rStyle w:val="Hyperlink.1"/>
          <w:rtl w:val="0"/>
          <w:lang w:val="en-US"/>
        </w:rPr>
        <w:t xml:space="preserve"> more accessible to consumers. The high BOI (at 128) means that there is good opportunity in the region. Quebec also has a high CDI (at 106) which means that a large amount of French Canadians shop for groceries, but not necessarily at a </w:t>
      </w:r>
      <w:r>
        <w:rPr>
          <w:rStyle w:val="None"/>
          <w:u w:val="single"/>
          <w:rtl w:val="0"/>
          <w:lang w:val="en-US"/>
        </w:rPr>
        <w:t>Loblaws</w:t>
      </w:r>
      <w:r>
        <w:rPr>
          <w:rStyle w:val="Hyperlink.1"/>
          <w:rtl w:val="0"/>
          <w:lang w:val="en-US"/>
        </w:rPr>
        <w:t xml:space="preserve"> location. There is a large opportunity for </w:t>
      </w:r>
      <w:r>
        <w:rPr>
          <w:rStyle w:val="None"/>
          <w:u w:val="single"/>
          <w:rtl w:val="0"/>
          <w:lang w:val="en-US"/>
        </w:rPr>
        <w:t>Loblaws</w:t>
      </w:r>
      <w:r>
        <w:rPr>
          <w:rStyle w:val="Hyperlink.1"/>
          <w:rtl w:val="0"/>
          <w:lang w:val="en-US"/>
        </w:rPr>
        <w:t xml:space="preserve"> to adopt a more aggressive strategy that will help raise the BDI and market share for that region. </w:t>
      </w:r>
    </w:p>
    <w:p>
      <w:pPr>
        <w:pStyle w:val="Body"/>
      </w:pPr>
    </w:p>
    <w:p>
      <w:pPr>
        <w:pStyle w:val="heading 4"/>
        <w:rPr>
          <w:rStyle w:val="None"/>
          <w:b w:val="1"/>
          <w:bCs w:val="1"/>
          <w:outline w:val="0"/>
          <w:color w:val="000000"/>
          <w:u w:color="000000"/>
          <w14:textFill>
            <w14:solidFill>
              <w14:srgbClr w14:val="000000"/>
            </w14:solidFill>
          </w14:textFill>
        </w:rPr>
      </w:pPr>
      <w:bookmarkStart w:name="_z5bhiqx8mt" w:id="19"/>
      <w:bookmarkEnd w:id="19"/>
      <w:r>
        <w:rPr>
          <w:rStyle w:val="None"/>
          <w:rFonts w:cs="Arial Unicode MS" w:eastAsia="Arial Unicode MS"/>
          <w:b w:val="1"/>
          <w:bCs w:val="1"/>
          <w:outline w:val="0"/>
          <w:color w:val="000000"/>
          <w:u w:color="000000"/>
          <w:rtl w:val="0"/>
          <w:lang w:val="en-US"/>
          <w14:textFill>
            <w14:solidFill>
              <w14:srgbClr w14:val="000000"/>
            </w14:solidFill>
          </w14:textFill>
        </w:rPr>
        <w:t>P</w:t>
      </w:r>
      <w:r>
        <w:rPr>
          <w:rStyle w:val="None"/>
          <w:rFonts w:cs="Arial Unicode MS" w:eastAsia="Arial Unicode MS"/>
          <w:b w:val="1"/>
          <w:bCs w:val="1"/>
          <w:outline w:val="0"/>
          <w:color w:val="000000"/>
          <w:u w:color="000000"/>
          <w:rtl w:val="0"/>
          <w:lang w:val="en-US"/>
          <w14:textFill>
            <w14:solidFill>
              <w14:srgbClr w14:val="000000"/>
            </w14:solidFill>
          </w14:textFill>
        </w:rPr>
        <w:t>riority #2: Ontario</w:t>
      </w:r>
    </w:p>
    <w:p>
      <w:pPr>
        <w:pStyle w:val="Body"/>
      </w:pPr>
      <w:r>
        <w:rPr>
          <w:rStyle w:val="Hyperlink.1"/>
          <w:rtl w:val="0"/>
          <w:lang w:val="en-US"/>
        </w:rPr>
        <w:t xml:space="preserve">Ontario makes an ideal secondary target because the region already has a high BDI (at 159), which means that most Ontarians are already loyal to the </w:t>
      </w:r>
      <w:r>
        <w:rPr>
          <w:rStyle w:val="None"/>
          <w:u w:val="single"/>
          <w:rtl w:val="0"/>
          <w:lang w:val="en-US"/>
        </w:rPr>
        <w:t>Loblaws</w:t>
      </w:r>
      <w:r>
        <w:rPr>
          <w:rStyle w:val="Hyperlink.1"/>
          <w:rtl w:val="0"/>
          <w:lang w:val="en-US"/>
        </w:rPr>
        <w:t xml:space="preserve"> brand. Though Quebec has a bit more store accessibility (due to their larger amount of locations), Ontario also has a relatively large amount of locations (at 34) that give the region slightly less accessibility to consumers. Loblaws can adopt a more defensive strategy when tackling the Ontario market because most Ontarians already buy from Loblaws regularly (Ontario makes up 61.4% of </w:t>
      </w:r>
      <w:r>
        <w:rPr>
          <w:rStyle w:val="None"/>
          <w:u w:val="single"/>
          <w:rtl w:val="0"/>
          <w:lang w:val="en-US"/>
        </w:rPr>
        <w:t>Loblaws</w:t>
      </w:r>
      <w:r>
        <w:rPr>
          <w:rStyle w:val="Hyperlink.1"/>
          <w:rtl w:val="1"/>
        </w:rPr>
        <w:t xml:space="preserve">’ </w:t>
      </w:r>
      <w:r>
        <w:rPr>
          <w:rStyle w:val="Hyperlink.1"/>
          <w:rtl w:val="0"/>
          <w:lang w:val="en-US"/>
        </w:rPr>
        <w:t xml:space="preserve">brand users). </w:t>
      </w:r>
    </w:p>
    <w:p>
      <w:pPr>
        <w:pStyle w:val="Heading 2"/>
        <w:rPr>
          <w:rStyle w:val="Hyperlink.0"/>
        </w:rPr>
      </w:pPr>
      <w:bookmarkStart w:name="_gr8rt431lrzv" w:id="20"/>
      <w:bookmarkEnd w:id="20"/>
      <w:r>
        <w:rPr>
          <w:rStyle w:val="Hyperlink.0"/>
          <w:rFonts w:cs="Arial Unicode MS" w:eastAsia="Arial Unicode MS"/>
          <w:rtl w:val="0"/>
        </w:rPr>
        <w:t>S</w:t>
      </w:r>
      <w:r>
        <w:rPr>
          <w:rStyle w:val="Hyperlink.0"/>
          <w:rFonts w:cs="Arial Unicode MS" w:eastAsia="Arial Unicode MS"/>
          <w:rtl w:val="0"/>
          <w:lang w:val="en-US"/>
        </w:rPr>
        <w:t>easonality</w:t>
      </w:r>
    </w:p>
    <w:p>
      <w:pPr>
        <w:pStyle w:val="Heading 3"/>
        <w:rPr>
          <w:rStyle w:val="None"/>
          <w:u w:val="single"/>
        </w:rPr>
      </w:pPr>
      <w:bookmarkStart w:name="_t4nycho89ni6" w:id="21"/>
      <w:bookmarkEnd w:id="21"/>
    </w:p>
    <w:tbl>
      <w:tblPr>
        <w:tblW w:w="9855" w:type="dxa"/>
        <w:jc w:val="left"/>
        <w:tblInd w:w="109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675"/>
        <w:gridCol w:w="705"/>
        <w:gridCol w:w="645"/>
        <w:gridCol w:w="735"/>
        <w:gridCol w:w="765"/>
        <w:gridCol w:w="720"/>
        <w:gridCol w:w="705"/>
        <w:gridCol w:w="735"/>
        <w:gridCol w:w="705"/>
        <w:gridCol w:w="765"/>
        <w:gridCol w:w="765"/>
        <w:gridCol w:w="750"/>
      </w:tblGrid>
      <w:tr>
        <w:tblPrEx>
          <w:shd w:val="clear" w:color="auto" w:fill="ced7e7"/>
        </w:tblPrEx>
        <w:trPr>
          <w:trHeight w:val="520" w:hRule="atLeast"/>
        </w:trPr>
        <w:tc>
          <w:tcPr>
            <w:tcW w:type="dxa" w:w="9855"/>
            <w:gridSpan w:val="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2cc"/>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434343"/>
                <w:u w:color="434343"/>
                <w:rtl w:val="0"/>
                <w:lang w:val="en-US"/>
                <w14:textFill>
                  <w14:solidFill>
                    <w14:srgbClr w14:val="434343"/>
                  </w14:solidFill>
                </w14:textFill>
              </w:rPr>
              <w:t>Food Shopping Sales Pattern</w:t>
            </w:r>
          </w:p>
        </w:tc>
      </w:tr>
      <w:tr>
        <w:tblPrEx>
          <w:shd w:val="clear" w:color="auto" w:fill="ced7e7"/>
        </w:tblPrEx>
        <w:trPr>
          <w:trHeight w:val="253"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434343"/>
                <w:u w:color="434343"/>
                <w:rtl w:val="0"/>
                <w:lang w:val="en-US"/>
                <w14:textFill>
                  <w14:solidFill>
                    <w14:srgbClr w14:val="434343"/>
                  </w14:solidFill>
                </w14:textFill>
              </w:rPr>
              <w:t>Month</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J</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F</w:t>
            </w:r>
          </w:p>
        </w:tc>
        <w:tc>
          <w:tcPr>
            <w:tcW w:type="dxa" w:w="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M</w:t>
            </w:r>
          </w:p>
        </w:tc>
        <w:tc>
          <w:tcPr>
            <w:tcW w:type="dxa" w:w="7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A</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M</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J</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J</w:t>
            </w:r>
          </w:p>
        </w:tc>
        <w:tc>
          <w:tcPr>
            <w:tcW w:type="dxa" w:w="7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A</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S</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O</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N</w:t>
            </w:r>
          </w:p>
        </w:tc>
        <w:tc>
          <w:tcPr>
            <w:tcW w:type="dxa" w:w="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D</w:t>
            </w:r>
          </w:p>
        </w:tc>
      </w:tr>
      <w:tr>
        <w:tblPrEx>
          <w:shd w:val="clear" w:color="auto" w:fill="ced7e7"/>
        </w:tblPrEx>
        <w:trPr>
          <w:trHeight w:val="493" w:hRule="atLeast"/>
        </w:trPr>
        <w:tc>
          <w:tcPr>
            <w:tcW w:type="dxa" w:w="1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b w:val="1"/>
                <w:bCs w:val="1"/>
                <w:outline w:val="0"/>
                <w:color w:val="434343"/>
                <w:u w:color="434343"/>
                <w:rtl w:val="0"/>
                <w:lang w:val="en-US"/>
                <w14:textFill>
                  <w14:solidFill>
                    <w14:srgbClr w14:val="434343"/>
                  </w14:solidFill>
                </w14:textFill>
              </w:rPr>
              <w:t>Sales %</w:t>
            </w:r>
          </w:p>
        </w:tc>
        <w:tc>
          <w:tcPr>
            <w:tcW w:type="dxa" w:w="6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8.2</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8.1</w:t>
            </w:r>
          </w:p>
        </w:tc>
        <w:tc>
          <w:tcPr>
            <w:tcW w:type="dxa" w:w="6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8.0</w:t>
            </w:r>
          </w:p>
        </w:tc>
        <w:tc>
          <w:tcPr>
            <w:tcW w:type="dxa" w:w="7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8.0</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8.5</w:t>
            </w:r>
          </w:p>
        </w:tc>
        <w:tc>
          <w:tcPr>
            <w:tcW w:type="dxa" w:w="7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8.5</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8.6</w:t>
            </w:r>
          </w:p>
        </w:tc>
        <w:tc>
          <w:tcPr>
            <w:tcW w:type="dxa" w:w="7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8.5</w:t>
            </w:r>
          </w:p>
        </w:tc>
        <w:tc>
          <w:tcPr>
            <w:tcW w:type="dxa" w:w="7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8.4</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8.4</w:t>
            </w:r>
          </w:p>
        </w:tc>
        <w:tc>
          <w:tcPr>
            <w:tcW w:type="dxa" w:w="7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8.3</w:t>
            </w:r>
          </w:p>
        </w:tc>
        <w:tc>
          <w:tcPr>
            <w:tcW w:type="dxa" w:w="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outline w:val="0"/>
                <w:color w:val="434343"/>
                <w:u w:color="434343"/>
                <w:rtl w:val="0"/>
                <w:lang w:val="en-US"/>
                <w14:textFill>
                  <w14:solidFill>
                    <w14:srgbClr w14:val="434343"/>
                  </w14:solidFill>
                </w14:textFill>
              </w:rPr>
              <w:t>8.5</w:t>
            </w:r>
          </w:p>
        </w:tc>
      </w:tr>
    </w:tbl>
    <w:p>
      <w:pPr>
        <w:pStyle w:val="Heading 3"/>
        <w:widowControl w:val="0"/>
        <w:spacing w:line="240" w:lineRule="auto"/>
        <w:ind w:left="986" w:hanging="986"/>
        <w:rPr>
          <w:rStyle w:val="None"/>
          <w:u w:val="single"/>
        </w:rPr>
      </w:pPr>
    </w:p>
    <w:p>
      <w:pPr>
        <w:pStyle w:val="Body"/>
      </w:pPr>
      <w:r>
        <w:rPr>
          <w:rStyle w:val="Hyperlink.1"/>
          <w:rtl w:val="0"/>
          <w:lang w:val="en-US"/>
        </w:rPr>
        <w:t xml:space="preserve">Source: </w:t>
      </w:r>
      <w:r>
        <w:rPr>
          <w:rStyle w:val="None"/>
          <w:u w:val="single"/>
          <w:rtl w:val="0"/>
          <w:lang w:val="en-US"/>
        </w:rPr>
        <w:t>Monthly retail sales of grocery stores in Canada from 2015 to 2018 (in billion Canadian Dollars)*. Statista.</w:t>
      </w:r>
      <w:r>
        <w:rPr>
          <w:rStyle w:val="Hyperlink.1"/>
          <w:rtl w:val="0"/>
        </w:rPr>
        <w:t xml:space="preserve"> </w:t>
      </w:r>
    </w:p>
    <w:p>
      <w:pPr>
        <w:pStyle w:val="Body"/>
      </w:pPr>
      <w:r>
        <w:rPr>
          <w:rStyle w:val="None"/>
          <w:sz w:val="20"/>
          <w:szCs w:val="20"/>
          <w:rtl w:val="0"/>
          <w:lang w:val="en-US"/>
        </w:rPr>
        <w:t>*Table information is loosely based on source</w:t>
      </w:r>
      <w:r>
        <w:rPr>
          <w:rStyle w:val="Hyperlink.1"/>
          <w:rtl w:val="0"/>
        </w:rPr>
        <w:t xml:space="preserve"> </w:t>
      </w:r>
    </w:p>
    <w:p>
      <w:pPr>
        <w:pStyle w:val="Body"/>
      </w:pPr>
    </w:p>
    <w:p>
      <w:pPr>
        <w:pStyle w:val="Body"/>
      </w:pPr>
      <w:r>
        <w:rPr>
          <w:rStyle w:val="Hyperlink.1"/>
          <w:rtl w:val="0"/>
          <w:lang w:val="en-US"/>
        </w:rPr>
        <w:t xml:space="preserve">Sales in the year 2017 remained stable. Amounts sold at grocery stores rose up 8.6% in July due to summer harvest. Sales also rose up to 8.5% in December, despite having less selection in season due to the holiday season. </w:t>
      </w:r>
    </w:p>
    <w:p>
      <w:pPr>
        <w:pStyle w:val="Body"/>
      </w:pPr>
    </w:p>
    <w:p>
      <w:pPr>
        <w:pStyle w:val="Body"/>
        <w:rPr>
          <w:rStyle w:val="Hyperlink.0"/>
        </w:rPr>
      </w:pPr>
      <w:r>
        <w:rPr>
          <w:rStyle w:val="Hyperlink.1"/>
          <w:rtl w:val="0"/>
          <w:lang w:val="en-US"/>
        </w:rPr>
        <w:t xml:space="preserve">Top seasonal priorities consist of May-August and December, due to higher amounts of food and drink being bought for events being held. </w:t>
      </w:r>
    </w:p>
    <w:p>
      <w:pPr>
        <w:pStyle w:val="Body"/>
      </w:pPr>
    </w:p>
    <w:p>
      <w:pPr>
        <w:pStyle w:val="Heading 2"/>
      </w:pPr>
      <w:bookmarkStart w:name="_u1nldn8kbwf7" w:id="22"/>
      <w:bookmarkEnd w:id="22"/>
      <w:r>
        <w:rPr>
          <w:rStyle w:val="Hyperlink.0"/>
          <w:rFonts w:cs="Arial Unicode MS" w:eastAsia="Arial Unicode MS"/>
          <w:rtl w:val="0"/>
        </w:rPr>
        <w:t>C</w:t>
      </w:r>
      <w:r>
        <w:rPr>
          <w:rStyle w:val="Hyperlink.0"/>
          <w:rFonts w:cs="Arial Unicode MS" w:eastAsia="Arial Unicode MS"/>
          <w:rtl w:val="0"/>
          <w:lang w:val="en-US"/>
        </w:rPr>
        <w:t>ompetition</w:t>
      </w:r>
    </w:p>
    <w:p>
      <w:pPr>
        <w:pStyle w:val="Body"/>
        <w:rPr>
          <w:rStyle w:val="None"/>
          <w:u w:val="single"/>
        </w:rPr>
      </w:pPr>
      <w:r>
        <w:rPr>
          <w:rStyle w:val="Hyperlink.1"/>
          <w:rtl w:val="0"/>
          <w:lang w:val="en-US"/>
        </w:rPr>
        <w:t xml:space="preserve">Competitor #1: </w:t>
      </w:r>
      <w:r>
        <w:rPr>
          <w:rStyle w:val="None"/>
          <w:u w:val="single"/>
          <w:rtl w:val="0"/>
        </w:rPr>
        <w:t>Sobeys</w:t>
      </w:r>
    </w:p>
    <w:p>
      <w:pPr>
        <w:pStyle w:val="Body"/>
        <w:rPr>
          <w:rStyle w:val="None"/>
          <w:u w:val="single"/>
        </w:rPr>
      </w:pPr>
      <w:r>
        <w:rPr>
          <w:rStyle w:val="Hyperlink.1"/>
          <w:rtl w:val="0"/>
          <w:lang w:val="it-IT"/>
        </w:rPr>
        <w:t xml:space="preserve">Competitor #2: </w:t>
      </w:r>
      <w:r>
        <w:rPr>
          <w:rStyle w:val="None"/>
          <w:u w:val="single"/>
          <w:rtl w:val="0"/>
        </w:rPr>
        <w:t>Metro</w:t>
      </w:r>
    </w:p>
    <w:p>
      <w:pPr>
        <w:pStyle w:val="Body"/>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0"/>
        <w:gridCol w:w="4680"/>
      </w:tblGrid>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ad1dc"/>
            <w:tcMar>
              <w:top w:type="dxa" w:w="80"/>
              <w:left w:type="dxa" w:w="80"/>
              <w:bottom w:type="dxa" w:w="80"/>
              <w:right w:type="dxa" w:w="80"/>
            </w:tcMar>
            <w:vAlign w:val="top"/>
          </w:tcPr>
          <w:p>
            <w:pPr>
              <w:pStyle w:val="Body"/>
              <w:widowControl w:val="0"/>
              <w:spacing w:line="240" w:lineRule="auto"/>
            </w:pPr>
            <w:r>
              <w:rPr>
                <w:rStyle w:val="None"/>
                <w:rtl w:val="0"/>
                <w:lang w:val="en-US"/>
              </w:rPr>
              <w:t>Brand</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ad1dc"/>
            <w:tcMar>
              <w:top w:type="dxa" w:w="80"/>
              <w:left w:type="dxa" w:w="80"/>
              <w:bottom w:type="dxa" w:w="80"/>
              <w:right w:type="dxa" w:w="80"/>
            </w:tcMar>
            <w:vAlign w:val="top"/>
          </w:tcPr>
          <w:p>
            <w:pPr>
              <w:pStyle w:val="Body"/>
              <w:widowControl w:val="0"/>
              <w:spacing w:line="240" w:lineRule="auto"/>
            </w:pPr>
            <w:r>
              <w:rPr>
                <w:rStyle w:val="None"/>
                <w:rtl w:val="0"/>
                <w:lang w:val="en-US"/>
              </w:rPr>
              <w:t>Current Users</w:t>
            </w:r>
          </w:p>
        </w:tc>
      </w:tr>
      <w:tr>
        <w:tblPrEx>
          <w:shd w:val="clear" w:color="auto" w:fill="ced7e7"/>
        </w:tblPrEx>
        <w:trPr>
          <w:trHeight w:val="528"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u w:val="single"/>
                <w:rtl w:val="0"/>
                <w:lang w:val="en-US"/>
              </w:rPr>
              <w:t>Loblaws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9daf8"/>
            <w:tcMar>
              <w:top w:type="dxa" w:w="80"/>
              <w:left w:type="dxa" w:w="80"/>
              <w:bottom w:type="dxa" w:w="80"/>
              <w:right w:type="dxa" w:w="80"/>
            </w:tcMar>
            <w:vAlign w:val="top"/>
          </w:tcPr>
          <w:p>
            <w:pPr>
              <w:pStyle w:val="Body"/>
            </w:pPr>
            <w:r>
              <w:rPr>
                <w:rStyle w:val="None"/>
                <w:rtl w:val="0"/>
                <w:lang w:val="en-US"/>
              </w:rPr>
              <w:t xml:space="preserve">25-64, HHI $50,000 to $100,000+, female. </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u w:val="single"/>
                <w:rtl w:val="0"/>
                <w:lang w:val="en-US"/>
              </w:rPr>
              <w:t>Sobeys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9daf8"/>
            <w:tcMar>
              <w:top w:type="dxa" w:w="80"/>
              <w:left w:type="dxa" w:w="80"/>
              <w:bottom w:type="dxa" w:w="80"/>
              <w:right w:type="dxa" w:w="80"/>
            </w:tcMar>
            <w:vAlign w:val="top"/>
          </w:tcPr>
          <w:p>
            <w:pPr>
              <w:pStyle w:val="Body"/>
              <w:widowControl w:val="0"/>
              <w:spacing w:line="240" w:lineRule="auto"/>
            </w:pPr>
            <w:r>
              <w:rPr>
                <w:rStyle w:val="None"/>
                <w:rtl w:val="0"/>
                <w:lang w:val="en-US"/>
              </w:rPr>
              <w:t>35-65+, HHI under $25,000 to $99,999</w:t>
            </w:r>
          </w:p>
        </w:tc>
      </w:tr>
      <w:tr>
        <w:tblPrEx>
          <w:shd w:val="clear" w:color="auto" w:fill="ced7e7"/>
        </w:tblPrEx>
        <w:trPr>
          <w:trHeight w:val="253"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u w:val="single"/>
                <w:rtl w:val="0"/>
                <w:lang w:val="en-US"/>
              </w:rPr>
              <w:t>Metro</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9daf8"/>
            <w:tcMar>
              <w:top w:type="dxa" w:w="80"/>
              <w:left w:type="dxa" w:w="80"/>
              <w:bottom w:type="dxa" w:w="80"/>
              <w:right w:type="dxa" w:w="80"/>
            </w:tcMar>
            <w:vAlign w:val="top"/>
          </w:tcPr>
          <w:p>
            <w:pPr>
              <w:pStyle w:val="Body"/>
              <w:widowControl w:val="0"/>
              <w:spacing w:line="240" w:lineRule="auto"/>
            </w:pPr>
            <w:r>
              <w:rPr>
                <w:rStyle w:val="None"/>
                <w:rtl w:val="0"/>
                <w:lang w:val="en-US"/>
              </w:rPr>
              <w:t>35-65+, HHI under $25,000 to $75,000</w:t>
            </w:r>
          </w:p>
        </w:tc>
      </w:tr>
    </w:tbl>
    <w:p>
      <w:pPr>
        <w:pStyle w:val="Body"/>
        <w:widowControl w:val="0"/>
        <w:spacing w:line="240" w:lineRule="auto"/>
        <w:ind w:left="936" w:hanging="936"/>
      </w:pPr>
    </w:p>
    <w:p>
      <w:pPr>
        <w:pStyle w:val="Body"/>
        <w:rPr>
          <w:rStyle w:val="None"/>
          <w:sz w:val="20"/>
          <w:szCs w:val="20"/>
        </w:rPr>
      </w:pPr>
      <w:r>
        <w:rPr>
          <w:rStyle w:val="None"/>
          <w:sz w:val="20"/>
          <w:szCs w:val="20"/>
          <w:rtl w:val="0"/>
          <w:lang w:val="en-US"/>
        </w:rPr>
        <w:t>Source: Resource Reference Brand Specific Data.</w:t>
      </w:r>
    </w:p>
    <w:p>
      <w:pPr>
        <w:pStyle w:val="Body"/>
        <w:numPr>
          <w:ilvl w:val="0"/>
          <w:numId w:val="36"/>
        </w:numPr>
        <w:rPr>
          <w:lang w:val="en-US"/>
        </w:rPr>
      </w:pPr>
      <w:r>
        <w:rPr>
          <w:rStyle w:val="None"/>
          <w:u w:val="single"/>
          <w:rtl w:val="0"/>
          <w:lang w:val="en-US"/>
        </w:rPr>
        <w:t>Loblaws</w:t>
      </w:r>
      <w:r>
        <w:rPr>
          <w:rStyle w:val="Hyperlink.1"/>
          <w:rtl w:val="0"/>
          <w:lang w:val="en-US"/>
        </w:rPr>
        <w:t xml:space="preserve"> has a different age group than competitors with users aged 25-64 compared to the competitors older aged users 35-65+</w:t>
      </w:r>
    </w:p>
    <w:p>
      <w:pPr>
        <w:pStyle w:val="Body"/>
        <w:numPr>
          <w:ilvl w:val="0"/>
          <w:numId w:val="36"/>
        </w:numPr>
        <w:rPr>
          <w:lang w:val="en-US"/>
        </w:rPr>
      </w:pPr>
      <w:r>
        <w:rPr>
          <w:rStyle w:val="None"/>
          <w:u w:val="single"/>
          <w:rtl w:val="0"/>
          <w:lang w:val="en-US"/>
        </w:rPr>
        <w:t>Loblaws</w:t>
      </w:r>
      <w:r>
        <w:rPr>
          <w:rStyle w:val="Hyperlink.1"/>
          <w:rtl w:val="0"/>
          <w:lang w:val="en-US"/>
        </w:rPr>
        <w:t xml:space="preserve"> users have a higher HHI than competitors at $50,000 to $100,000+.</w:t>
      </w:r>
    </w:p>
    <w:p>
      <w:pPr>
        <w:pStyle w:val="Body"/>
        <w:ind w:left="1440" w:firstLine="0"/>
      </w:pPr>
    </w:p>
    <w:p>
      <w:pPr>
        <w:pStyle w:val="Body"/>
      </w:pPr>
    </w:p>
    <w:tbl>
      <w:tblPr>
        <w:tblW w:w="8940" w:type="dxa"/>
        <w:jc w:val="left"/>
        <w:tblInd w:w="100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0"/>
        <w:gridCol w:w="1490"/>
        <w:gridCol w:w="1490"/>
        <w:gridCol w:w="1490"/>
        <w:gridCol w:w="1490"/>
        <w:gridCol w:w="1490"/>
      </w:tblGrid>
      <w:tr>
        <w:tblPrEx>
          <w:shd w:val="clear" w:color="auto" w:fill="ced7e7"/>
        </w:tblPrEx>
        <w:trPr>
          <w:trHeight w:val="555" w:hRule="atLeast"/>
        </w:trPr>
        <w:tc>
          <w:tcPr>
            <w:tcW w:type="dxa" w:w="8940"/>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6666"/>
            <w:tcMar>
              <w:top w:type="dxa" w:w="80"/>
              <w:left w:type="dxa" w:w="80"/>
              <w:bottom w:type="dxa" w:w="80"/>
              <w:right w:type="dxa" w:w="80"/>
            </w:tcMar>
            <w:vAlign w:val="top"/>
          </w:tcPr>
          <w:p>
            <w:pPr>
              <w:pStyle w:val="Body"/>
              <w:widowControl w:val="0"/>
              <w:jc w:val="center"/>
            </w:pPr>
            <w:r>
              <w:rPr>
                <w:rStyle w:val="None"/>
                <w:b w:val="1"/>
                <w:bCs w:val="1"/>
                <w:rtl w:val="0"/>
                <w:lang w:val="en-US"/>
              </w:rPr>
              <w:t>Competitive Geographic Analysis</w:t>
            </w:r>
          </w:p>
        </w:tc>
      </w:tr>
      <w:tr>
        <w:tblPrEx>
          <w:shd w:val="clear" w:color="auto" w:fill="ced7e7"/>
        </w:tblPrEx>
        <w:trPr>
          <w:trHeight w:val="127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Region</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CDN POP %</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CDI</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Loblaws BDI</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Sobeys BDI</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Metro BDI</w:t>
            </w:r>
          </w:p>
        </w:tc>
      </w:tr>
      <w:tr>
        <w:tblPrEx>
          <w:shd w:val="clear" w:color="auto" w:fill="ced7e7"/>
        </w:tblPrEx>
        <w:trPr>
          <w:trHeight w:val="55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Atlantic</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6.71</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107</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114</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701</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0</w:t>
            </w:r>
          </w:p>
        </w:tc>
      </w:tr>
      <w:tr>
        <w:tblPrEx>
          <w:shd w:val="clear" w:color="auto" w:fill="ced7e7"/>
        </w:tblPrEx>
        <w:trPr>
          <w:trHeight w:val="55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Quebec</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23.2</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106</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83</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12</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250</w:t>
            </w:r>
          </w:p>
        </w:tc>
      </w:tr>
      <w:tr>
        <w:tblPrEx>
          <w:shd w:val="clear" w:color="auto" w:fill="ced7e7"/>
        </w:tblPrEx>
        <w:trPr>
          <w:trHeight w:val="55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Ontario</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38.68</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96</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159</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57</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107</w:t>
            </w:r>
          </w:p>
        </w:tc>
      </w:tr>
      <w:tr>
        <w:tblPrEx>
          <w:shd w:val="clear" w:color="auto" w:fill="ced7e7"/>
        </w:tblPrEx>
        <w:trPr>
          <w:trHeight w:val="55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Prairies</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18.11</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99</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30</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99ccff"/>
            <w:tcMar>
              <w:top w:type="dxa" w:w="80"/>
              <w:left w:type="dxa" w:w="80"/>
              <w:bottom w:type="dxa" w:w="80"/>
              <w:right w:type="dxa" w:w="80"/>
            </w:tcMar>
            <w:vAlign w:val="top"/>
          </w:tcPr>
          <w:p>
            <w:pPr>
              <w:pStyle w:val="Body"/>
              <w:widowControl w:val="0"/>
              <w:jc w:val="right"/>
            </w:pPr>
            <w:r>
              <w:rPr>
                <w:rStyle w:val="None"/>
                <w:rtl w:val="0"/>
                <w:lang w:val="en-US"/>
              </w:rPr>
              <w:t>147</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w:t>
            </w:r>
          </w:p>
        </w:tc>
      </w:tr>
      <w:tr>
        <w:tblPrEx>
          <w:shd w:val="clear" w:color="auto" w:fill="ced7e7"/>
        </w:tblPrEx>
        <w:trPr>
          <w:trHeight w:val="555" w:hRule="atLeast"/>
        </w:trPr>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b w:val="1"/>
                <w:bCs w:val="1"/>
                <w:rtl w:val="0"/>
                <w:lang w:val="en-US"/>
              </w:rPr>
              <w:t>BC</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13.31</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97</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48</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12</w:t>
            </w:r>
          </w:p>
        </w:tc>
        <w:tc>
          <w:tcPr>
            <w:tcW w:type="dxa" w:w="1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w:t>
            </w:r>
          </w:p>
        </w:tc>
      </w:tr>
    </w:tbl>
    <w:p>
      <w:pPr>
        <w:pStyle w:val="Body"/>
        <w:widowControl w:val="0"/>
        <w:spacing w:line="240" w:lineRule="auto"/>
        <w:ind w:left="894" w:hanging="894"/>
      </w:pPr>
    </w:p>
    <w:p>
      <w:pPr>
        <w:pStyle w:val="Body"/>
        <w:rPr>
          <w:rStyle w:val="None"/>
          <w:sz w:val="20"/>
          <w:szCs w:val="20"/>
        </w:rPr>
      </w:pPr>
      <w:r>
        <w:rPr>
          <w:rStyle w:val="None"/>
          <w:sz w:val="20"/>
          <w:szCs w:val="20"/>
          <w:rtl w:val="0"/>
          <w:lang w:val="en-US"/>
        </w:rPr>
        <w:t>Source: Resource Reference Brand Specific Data.</w:t>
      </w:r>
    </w:p>
    <w:p>
      <w:pPr>
        <w:pStyle w:val="Body"/>
      </w:pPr>
    </w:p>
    <w:p>
      <w:pPr>
        <w:pStyle w:val="Body"/>
        <w:numPr>
          <w:ilvl w:val="0"/>
          <w:numId w:val="38"/>
        </w:numPr>
        <w:bidi w:val="0"/>
        <w:ind w:right="0"/>
        <w:jc w:val="left"/>
        <w:rPr>
          <w:rtl w:val="0"/>
        </w:rPr>
      </w:pPr>
      <w:r>
        <w:rPr>
          <w:rStyle w:val="None"/>
          <w:u w:val="single"/>
          <w:rtl w:val="0"/>
        </w:rPr>
        <w:t>Sobeys</w:t>
      </w:r>
      <w:r>
        <w:rPr>
          <w:rStyle w:val="Hyperlink.1"/>
          <w:rtl w:val="0"/>
          <w:lang w:val="en-US"/>
        </w:rPr>
        <w:t xml:space="preserve"> has an extremely High BDI at 701 but a low CDI of 107 in comparison to the BDI in the Atlantic region, based off the analysis </w:t>
      </w:r>
      <w:r>
        <w:rPr>
          <w:rStyle w:val="None"/>
          <w:u w:val="single"/>
          <w:rtl w:val="0"/>
        </w:rPr>
        <w:t>Sobeys</w:t>
      </w:r>
      <w:r>
        <w:rPr>
          <w:rStyle w:val="Hyperlink.1"/>
          <w:rtl w:val="0"/>
          <w:lang w:val="en-US"/>
        </w:rPr>
        <w:t xml:space="preserve"> is significant in the Atlantic region</w:t>
      </w:r>
    </w:p>
    <w:p>
      <w:pPr>
        <w:pStyle w:val="Body"/>
        <w:numPr>
          <w:ilvl w:val="0"/>
          <w:numId w:val="40"/>
        </w:numPr>
        <w:bidi w:val="0"/>
        <w:ind w:right="0"/>
        <w:jc w:val="left"/>
        <w:rPr>
          <w:rtl w:val="0"/>
          <w:lang w:val="en-US"/>
        </w:rPr>
      </w:pPr>
      <w:r>
        <w:rPr>
          <w:rStyle w:val="None"/>
          <w:u w:val="single"/>
          <w:rtl w:val="0"/>
          <w:lang w:val="en-US"/>
        </w:rPr>
        <w:t>Loblaws</w:t>
      </w:r>
      <w:r>
        <w:rPr>
          <w:rStyle w:val="Hyperlink.1"/>
          <w:rtl w:val="0"/>
          <w:lang w:val="en-US"/>
        </w:rPr>
        <w:t xml:space="preserve"> has a high BDI of 114 and a high CDI of 107 in the Atlantic regions</w:t>
      </w:r>
    </w:p>
    <w:p>
      <w:pPr>
        <w:pStyle w:val="Body"/>
        <w:numPr>
          <w:ilvl w:val="0"/>
          <w:numId w:val="40"/>
        </w:numPr>
        <w:bidi w:val="0"/>
        <w:ind w:right="0"/>
        <w:jc w:val="left"/>
        <w:rPr>
          <w:rtl w:val="0"/>
        </w:rPr>
      </w:pPr>
      <w:r>
        <w:rPr>
          <w:rStyle w:val="None"/>
          <w:u w:val="single"/>
          <w:rtl w:val="0"/>
        </w:rPr>
        <w:t>Metro</w:t>
      </w:r>
      <w:r>
        <w:rPr>
          <w:rStyle w:val="Hyperlink.1"/>
          <w:rtl w:val="0"/>
          <w:lang w:val="en-US"/>
        </w:rPr>
        <w:t xml:space="preserve"> has a high BDI of 250 and a low CDI of 106 in Quebec, </w:t>
      </w:r>
      <w:r>
        <w:rPr>
          <w:rStyle w:val="None"/>
          <w:u w:val="single"/>
          <w:rtl w:val="0"/>
        </w:rPr>
        <w:t>Metro</w:t>
      </w:r>
      <w:r>
        <w:rPr>
          <w:rStyle w:val="Hyperlink.1"/>
          <w:rtl w:val="0"/>
          <w:lang w:val="en-US"/>
        </w:rPr>
        <w:t xml:space="preserve"> seems to be significant in Quebec</w:t>
      </w:r>
    </w:p>
    <w:p>
      <w:pPr>
        <w:pStyle w:val="Body"/>
        <w:numPr>
          <w:ilvl w:val="0"/>
          <w:numId w:val="40"/>
        </w:numPr>
        <w:bidi w:val="0"/>
        <w:ind w:right="0"/>
        <w:jc w:val="left"/>
        <w:rPr>
          <w:rtl w:val="0"/>
          <w:lang w:val="en-US"/>
        </w:rPr>
      </w:pPr>
      <w:r>
        <w:rPr>
          <w:rStyle w:val="None"/>
          <w:u w:val="single"/>
          <w:rtl w:val="0"/>
          <w:lang w:val="en-US"/>
        </w:rPr>
        <w:t>Loblaws</w:t>
      </w:r>
      <w:r>
        <w:rPr>
          <w:rStyle w:val="Hyperlink.1"/>
          <w:rtl w:val="0"/>
          <w:lang w:val="en-US"/>
        </w:rPr>
        <w:t xml:space="preserve"> has a high BDI of 159 and a low CDI of 96 in Ontario, based on the analysis Loblaws is significant in </w:t>
      </w:r>
      <w:r>
        <w:rPr>
          <w:rStyle w:val="None"/>
          <w:u w:val="single"/>
          <w:rtl w:val="0"/>
          <w:lang w:val="es-ES_tradnl"/>
        </w:rPr>
        <w:t>Ontario</w:t>
      </w:r>
    </w:p>
    <w:p>
      <w:pPr>
        <w:pStyle w:val="Body"/>
        <w:numPr>
          <w:ilvl w:val="0"/>
          <w:numId w:val="40"/>
        </w:numPr>
        <w:bidi w:val="0"/>
        <w:ind w:right="0"/>
        <w:jc w:val="left"/>
        <w:rPr>
          <w:rtl w:val="0"/>
        </w:rPr>
      </w:pPr>
      <w:r>
        <w:rPr>
          <w:rStyle w:val="None"/>
          <w:u w:val="single"/>
          <w:rtl w:val="0"/>
        </w:rPr>
        <w:t>Sobeys</w:t>
      </w:r>
      <w:r>
        <w:rPr>
          <w:rStyle w:val="Hyperlink.1"/>
          <w:rtl w:val="0"/>
          <w:lang w:val="en-US"/>
        </w:rPr>
        <w:t xml:space="preserve"> has a high BDI of 147 but the CDI is at a low of 99 in the Prairies.</w:t>
      </w:r>
    </w:p>
    <w:p>
      <w:pPr>
        <w:pStyle w:val="Body"/>
        <w:numPr>
          <w:ilvl w:val="0"/>
          <w:numId w:val="40"/>
        </w:numPr>
        <w:bidi w:val="0"/>
        <w:ind w:right="0"/>
        <w:jc w:val="left"/>
        <w:rPr>
          <w:rtl w:val="0"/>
        </w:rPr>
      </w:pPr>
      <w:r>
        <w:rPr>
          <w:rStyle w:val="None"/>
          <w:u w:val="single"/>
          <w:rtl w:val="0"/>
        </w:rPr>
        <w:t>Metro</w:t>
      </w:r>
      <w:r>
        <w:rPr>
          <w:rStyle w:val="Hyperlink.1"/>
          <w:rtl w:val="0"/>
          <w:lang w:val="en-US"/>
        </w:rPr>
        <w:t xml:space="preserve"> is based heavily based in Quebec and Ontario</w:t>
      </w:r>
    </w:p>
    <w:p>
      <w:pPr>
        <w:pStyle w:val="Body"/>
        <w:numPr>
          <w:ilvl w:val="0"/>
          <w:numId w:val="40"/>
        </w:numPr>
        <w:bidi w:val="0"/>
        <w:ind w:right="0"/>
        <w:jc w:val="left"/>
        <w:rPr>
          <w:rtl w:val="0"/>
        </w:rPr>
      </w:pPr>
      <w:r>
        <w:rPr>
          <w:rStyle w:val="None"/>
          <w:u w:val="single"/>
          <w:rtl w:val="0"/>
        </w:rPr>
        <w:t>Sobeys</w:t>
      </w:r>
      <w:r>
        <w:rPr>
          <w:rStyle w:val="Hyperlink.1"/>
          <w:rtl w:val="0"/>
          <w:lang w:val="en-US"/>
        </w:rPr>
        <w:t xml:space="preserve"> is primarily based in the Atlantic and Prairie regions.</w:t>
      </w:r>
    </w:p>
    <w:p>
      <w:pPr>
        <w:pStyle w:val="Body"/>
      </w:pPr>
    </w:p>
    <w:p>
      <w:pPr>
        <w:pStyle w:val="Heading 3"/>
        <w:rPr>
          <w:rStyle w:val="None"/>
          <w:b w:val="1"/>
          <w:bCs w:val="1"/>
          <w:outline w:val="0"/>
          <w:color w:val="000000"/>
          <w:u w:color="000000"/>
          <w14:textFill>
            <w14:solidFill>
              <w14:srgbClr w14:val="000000"/>
            </w14:solidFill>
          </w14:textFill>
        </w:rPr>
      </w:pPr>
      <w:bookmarkStart w:name="_reao5st279i2" w:id="23"/>
      <w:bookmarkEnd w:id="23"/>
      <w:r>
        <w:rPr>
          <w:rStyle w:val="None"/>
          <w:rFonts w:cs="Arial Unicode MS" w:eastAsia="Arial Unicode MS"/>
          <w:b w:val="1"/>
          <w:bCs w:val="1"/>
          <w:outline w:val="0"/>
          <w:color w:val="000000"/>
          <w:u w:color="000000"/>
          <w:rtl w:val="0"/>
          <w14:textFill>
            <w14:solidFill>
              <w14:srgbClr w14:val="000000"/>
            </w14:solidFill>
          </w14:textFill>
        </w:rPr>
        <w:t>P</w:t>
      </w:r>
      <w:r>
        <w:rPr>
          <w:rStyle w:val="None"/>
          <w:rFonts w:cs="Arial Unicode MS" w:eastAsia="Arial Unicode MS"/>
          <w:b w:val="1"/>
          <w:bCs w:val="1"/>
          <w:outline w:val="0"/>
          <w:color w:val="000000"/>
          <w:u w:color="000000"/>
          <w:rtl w:val="0"/>
          <w:lang w:val="en-US"/>
          <w14:textFill>
            <w14:solidFill>
              <w14:srgbClr w14:val="000000"/>
            </w14:solidFill>
          </w14:textFill>
        </w:rPr>
        <w:t>romotions From Competitors</w:t>
      </w:r>
    </w:p>
    <w:p>
      <w:pPr>
        <w:pStyle w:val="Body"/>
      </w:pPr>
    </w:p>
    <w:p>
      <w:pPr>
        <w:pStyle w:val="Body"/>
        <w:numPr>
          <w:ilvl w:val="0"/>
          <w:numId w:val="42"/>
        </w:numPr>
      </w:pPr>
      <w:r>
        <w:rPr>
          <w:rStyle w:val="None"/>
          <w:u w:val="single"/>
          <w:rtl w:val="0"/>
        </w:rPr>
        <w:t>Sobeys</w:t>
      </w:r>
      <w:r>
        <w:rPr>
          <w:rStyle w:val="Hyperlink.1"/>
          <w:rtl w:val="0"/>
          <w:lang w:val="en-US"/>
        </w:rPr>
        <w:t xml:space="preserve"> is sponsoring the </w:t>
      </w:r>
      <w:r>
        <w:rPr>
          <w:rStyle w:val="Hyperlink.1"/>
          <w:rtl w:val="1"/>
          <w:lang w:val="ar-SA" w:bidi="ar-SA"/>
        </w:rPr>
        <w:t>“</w:t>
      </w:r>
      <w:r>
        <w:rPr>
          <w:rStyle w:val="Hyperlink.1"/>
          <w:rtl w:val="0"/>
          <w:lang w:val="en-US"/>
        </w:rPr>
        <w:t>Canaccord Genuity Great Camp Adventure walk</w:t>
      </w:r>
      <w:r>
        <w:rPr>
          <w:rStyle w:val="Hyperlink.1"/>
          <w:rtl w:val="0"/>
        </w:rPr>
        <w:t xml:space="preserve">” </w:t>
      </w:r>
      <w:r>
        <w:rPr>
          <w:rStyle w:val="Hyperlink.1"/>
          <w:rtl w:val="0"/>
          <w:lang w:val="en-US"/>
        </w:rPr>
        <w:t xml:space="preserve">in support of the </w:t>
      </w:r>
      <w:r>
        <w:rPr>
          <w:rStyle w:val="None"/>
          <w:u w:val="single"/>
          <w:rtl w:val="0"/>
          <w:lang w:val="en-US"/>
        </w:rPr>
        <w:t>SickKids Foundation</w:t>
      </w:r>
      <w:r>
        <w:rPr>
          <w:rStyle w:val="Hyperlink.1"/>
          <w:rtl w:val="0"/>
          <w:lang w:val="en-US"/>
        </w:rPr>
        <w:t xml:space="preserve"> for 5 years.  The </w:t>
      </w:r>
      <w:r>
        <w:rPr>
          <w:rStyle w:val="Hyperlink.1"/>
          <w:rtl w:val="1"/>
          <w:lang w:val="ar-SA" w:bidi="ar-SA"/>
        </w:rPr>
        <w:t>“</w:t>
      </w:r>
      <w:r>
        <w:rPr>
          <w:rStyle w:val="Hyperlink.1"/>
          <w:rtl w:val="0"/>
          <w:lang w:val="en-US"/>
        </w:rPr>
        <w:t>Adventure Walk</w:t>
      </w:r>
      <w:r>
        <w:rPr>
          <w:rStyle w:val="Hyperlink.1"/>
          <w:rtl w:val="0"/>
        </w:rPr>
        <w:t xml:space="preserve">” </w:t>
      </w:r>
      <w:r>
        <w:rPr>
          <w:rStyle w:val="Hyperlink.1"/>
          <w:rtl w:val="0"/>
          <w:lang w:val="en-US"/>
        </w:rPr>
        <w:t xml:space="preserve">is a fundraising event where participants walk up to 20 kilometres.  Sobeys will be supplying the </w:t>
      </w:r>
      <w:r>
        <w:rPr>
          <w:rStyle w:val="Hyperlink.1"/>
          <w:rtl w:val="1"/>
          <w:lang w:val="ar-SA" w:bidi="ar-SA"/>
        </w:rPr>
        <w:t>“</w:t>
      </w:r>
      <w:r>
        <w:rPr>
          <w:rStyle w:val="Hyperlink.1"/>
          <w:rtl w:val="0"/>
          <w:lang w:val="en-US"/>
        </w:rPr>
        <w:t>Adventure Walk</w:t>
      </w:r>
      <w:r>
        <w:rPr>
          <w:rStyle w:val="Hyperlink.1"/>
          <w:rtl w:val="0"/>
        </w:rPr>
        <w:t xml:space="preserve">” </w:t>
      </w:r>
      <w:r>
        <w:rPr>
          <w:rStyle w:val="Hyperlink.1"/>
          <w:rtl w:val="0"/>
          <w:lang w:val="en-US"/>
        </w:rPr>
        <w:t>with snacks and refreshments throughout the event. (</w:t>
      </w:r>
      <w:r>
        <w:rPr>
          <w:rStyle w:val="Hyperlink.1"/>
          <w:rtl w:val="1"/>
          <w:lang w:val="ar-SA" w:bidi="ar-SA"/>
        </w:rPr>
        <w:t>“</w:t>
      </w:r>
      <w:r>
        <w:rPr>
          <w:rStyle w:val="None"/>
          <w:outline w:val="0"/>
          <w:color w:val="222222"/>
          <w:u w:color="222222"/>
          <w:shd w:val="clear" w:color="auto" w:fill="fafafa"/>
          <w:rtl w:val="0"/>
          <w:lang w:val="en-US"/>
          <w14:textFill>
            <w14:solidFill>
              <w14:srgbClr w14:val="222222"/>
            </w14:solidFill>
          </w14:textFill>
        </w:rPr>
        <w:t>Sobeys Inc. announces five-year sponsorship</w:t>
      </w:r>
      <w:r>
        <w:rPr>
          <w:rStyle w:val="None"/>
          <w:outline w:val="0"/>
          <w:color w:val="222222"/>
          <w:u w:color="222222"/>
          <w:shd w:val="clear" w:color="auto" w:fill="fafafa"/>
          <w:rtl w:val="0"/>
          <w14:textFill>
            <w14:solidFill>
              <w14:srgbClr w14:val="222222"/>
            </w14:solidFill>
          </w14:textFill>
        </w:rPr>
        <w:t>”</w:t>
      </w:r>
      <w:r>
        <w:rPr>
          <w:rStyle w:val="None"/>
          <w:outline w:val="0"/>
          <w:color w:val="222222"/>
          <w:u w:color="222222"/>
          <w:shd w:val="clear" w:color="auto" w:fill="fafafa"/>
          <w:rtl w:val="0"/>
          <w14:textFill>
            <w14:solidFill>
              <w14:srgbClr w14:val="222222"/>
            </w14:solidFill>
          </w14:textFill>
        </w:rPr>
        <w:t>, 2017).</w:t>
      </w:r>
    </w:p>
    <w:p>
      <w:pPr>
        <w:pStyle w:val="Body"/>
        <w:numPr>
          <w:ilvl w:val="0"/>
          <w:numId w:val="42"/>
        </w:numPr>
        <w:bidi w:val="0"/>
        <w:ind w:right="0"/>
        <w:jc w:val="left"/>
        <w:rPr>
          <w:outline w:val="0"/>
          <w:color w:val="222222"/>
          <w:rtl w:val="0"/>
          <w14:textFill>
            <w14:solidFill>
              <w14:srgbClr w14:val="222222"/>
            </w14:solidFill>
          </w14:textFill>
        </w:rPr>
      </w:pPr>
      <w:r>
        <w:rPr>
          <w:rStyle w:val="None"/>
          <w:outline w:val="0"/>
          <w:color w:val="222222"/>
          <w:u w:val="single" w:color="222222"/>
          <w:shd w:val="clear" w:color="auto" w:fill="fafafa"/>
          <w:rtl w:val="0"/>
          <w14:textFill>
            <w14:solidFill>
              <w14:srgbClr w14:val="222222"/>
            </w14:solidFill>
          </w14:textFill>
        </w:rPr>
        <w:t>Sobeys</w:t>
      </w:r>
      <w:r>
        <w:rPr>
          <w:rStyle w:val="None"/>
          <w:outline w:val="0"/>
          <w:color w:val="222222"/>
          <w:u w:color="222222"/>
          <w:shd w:val="clear" w:color="auto" w:fill="fafafa"/>
          <w:rtl w:val="0"/>
          <w:lang w:val="en-US"/>
          <w14:textFill>
            <w14:solidFill>
              <w14:srgbClr w14:val="222222"/>
            </w14:solidFill>
          </w14:textFill>
        </w:rPr>
        <w:t xml:space="preserve"> has a strong community presence as they donate millions to many community organizations, </w:t>
      </w:r>
      <w:r>
        <w:rPr>
          <w:rStyle w:val="None"/>
          <w:outline w:val="0"/>
          <w:color w:val="222222"/>
          <w:u w:val="single" w:color="222222"/>
          <w:shd w:val="clear" w:color="auto" w:fill="fafafa"/>
          <w:rtl w:val="0"/>
          <w14:textFill>
            <w14:solidFill>
              <w14:srgbClr w14:val="222222"/>
            </w14:solidFill>
          </w14:textFill>
        </w:rPr>
        <w:t>Sobeys</w:t>
      </w:r>
      <w:r>
        <w:rPr>
          <w:rStyle w:val="None"/>
          <w:outline w:val="0"/>
          <w:color w:val="222222"/>
          <w:u w:color="222222"/>
          <w:shd w:val="clear" w:color="auto" w:fill="fafafa"/>
          <w:rtl w:val="0"/>
          <w:lang w:val="en-US"/>
          <w14:textFill>
            <w14:solidFill>
              <w14:srgbClr w14:val="222222"/>
            </w14:solidFill>
          </w14:textFill>
        </w:rPr>
        <w:t xml:space="preserve"> has a program called the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222222"/>
          <w:u w:color="222222"/>
          <w:shd w:val="clear" w:color="auto" w:fill="fafafa"/>
          <w:rtl w:val="0"/>
          <w:lang w:val="en-US"/>
          <w14:textFill>
            <w14:solidFill>
              <w14:srgbClr w14:val="222222"/>
            </w14:solidFill>
          </w14:textFill>
        </w:rPr>
        <w:t>Better Food Fund</w:t>
      </w:r>
      <w:r>
        <w:rPr>
          <w:rStyle w:val="None"/>
          <w:outline w:val="0"/>
          <w:color w:val="222222"/>
          <w:u w:color="222222"/>
          <w:shd w:val="clear" w:color="auto" w:fill="fafafa"/>
          <w:rtl w:val="0"/>
          <w14:textFill>
            <w14:solidFill>
              <w14:srgbClr w14:val="222222"/>
            </w14:solidFill>
          </w14:textFill>
        </w:rPr>
        <w:t xml:space="preserve">” </w:t>
      </w:r>
      <w:r>
        <w:rPr>
          <w:rStyle w:val="None"/>
          <w:outline w:val="0"/>
          <w:color w:val="222222"/>
          <w:u w:color="222222"/>
          <w:shd w:val="clear" w:color="auto" w:fill="fafafa"/>
          <w:rtl w:val="0"/>
          <w:lang w:val="en-US"/>
          <w14:textFill>
            <w14:solidFill>
              <w14:srgbClr w14:val="222222"/>
            </w14:solidFill>
          </w14:textFill>
        </w:rPr>
        <w:t xml:space="preserve">and this program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222222"/>
          <w:u w:color="222222"/>
          <w:shd w:val="clear" w:color="auto" w:fill="fafafa"/>
          <w:rtl w:val="0"/>
          <w:lang w:val="en-US"/>
          <w14:textFill>
            <w14:solidFill>
              <w14:srgbClr w14:val="222222"/>
            </w14:solidFill>
          </w14:textFill>
        </w:rPr>
        <w:t>supports the advancements of better food through donations and partnerships</w:t>
      </w:r>
      <w:r>
        <w:rPr>
          <w:rStyle w:val="None"/>
          <w:outline w:val="0"/>
          <w:color w:val="222222"/>
          <w:u w:color="222222"/>
          <w:shd w:val="clear" w:color="auto" w:fill="fafafa"/>
          <w:rtl w:val="0"/>
          <w14:textFill>
            <w14:solidFill>
              <w14:srgbClr w14:val="222222"/>
            </w14:solidFill>
          </w14:textFill>
        </w:rPr>
        <w:t xml:space="preserve">” </w:t>
      </w:r>
      <w:r>
        <w:rPr>
          <w:rStyle w:val="None"/>
          <w:outline w:val="0"/>
          <w:color w:val="222222"/>
          <w:u w:color="222222"/>
          <w:shd w:val="clear" w:color="auto" w:fill="fafafa"/>
          <w:rtl w:val="0"/>
          <w14:textFill>
            <w14:solidFill>
              <w14:srgbClr w14:val="222222"/>
            </w14:solidFill>
          </w14:textFill>
        </w:rPr>
        <w:t>(</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222222"/>
          <w:u w:color="222222"/>
          <w:shd w:val="clear" w:color="auto" w:fill="fafafa"/>
          <w:rtl w:val="0"/>
          <w:lang w:val="en-US"/>
          <w14:textFill>
            <w14:solidFill>
              <w14:srgbClr w14:val="222222"/>
            </w14:solidFill>
          </w14:textFill>
        </w:rPr>
        <w:t>Social Responsibility</w:t>
      </w:r>
      <w:r>
        <w:rPr>
          <w:rStyle w:val="None"/>
          <w:outline w:val="0"/>
          <w:color w:val="222222"/>
          <w:u w:color="222222"/>
          <w:shd w:val="clear" w:color="auto" w:fill="fafafa"/>
          <w:rtl w:val="0"/>
          <w14:textFill>
            <w14:solidFill>
              <w14:srgbClr w14:val="222222"/>
            </w14:solidFill>
          </w14:textFill>
        </w:rPr>
        <w:t>”</w:t>
      </w:r>
      <w:r>
        <w:rPr>
          <w:rStyle w:val="None"/>
          <w:outline w:val="0"/>
          <w:color w:val="222222"/>
          <w:u w:color="222222"/>
          <w:shd w:val="clear" w:color="auto" w:fill="fafafa"/>
          <w:rtl w:val="0"/>
          <w14:textFill>
            <w14:solidFill>
              <w14:srgbClr w14:val="222222"/>
            </w14:solidFill>
          </w14:textFill>
        </w:rPr>
        <w:t>, 2014)</w:t>
      </w:r>
    </w:p>
    <w:p>
      <w:pPr>
        <w:pStyle w:val="Body"/>
        <w:numPr>
          <w:ilvl w:val="0"/>
          <w:numId w:val="42"/>
        </w:numPr>
        <w:bidi w:val="0"/>
        <w:ind w:right="0"/>
        <w:jc w:val="left"/>
        <w:rPr>
          <w:outline w:val="0"/>
          <w:color w:val="222222"/>
          <w:rtl w:val="0"/>
          <w14:textFill>
            <w14:solidFill>
              <w14:srgbClr w14:val="222222"/>
            </w14:solidFill>
          </w14:textFill>
        </w:rPr>
      </w:pPr>
      <w:r>
        <w:rPr>
          <w:rStyle w:val="None"/>
          <w:outline w:val="0"/>
          <w:color w:val="222222"/>
          <w:u w:val="single" w:color="222222"/>
          <w:shd w:val="clear" w:color="auto" w:fill="fafafa"/>
          <w:rtl w:val="0"/>
          <w14:textFill>
            <w14:solidFill>
              <w14:srgbClr w14:val="222222"/>
            </w14:solidFill>
          </w14:textFill>
        </w:rPr>
        <w:t>Sobeys</w:t>
      </w:r>
      <w:r>
        <w:rPr>
          <w:rStyle w:val="None"/>
          <w:outline w:val="0"/>
          <w:color w:val="222222"/>
          <w:u w:color="222222"/>
          <w:shd w:val="clear" w:color="auto" w:fill="fafafa"/>
          <w:rtl w:val="0"/>
          <w:lang w:val="en-US"/>
          <w14:textFill>
            <w14:solidFill>
              <w14:srgbClr w14:val="222222"/>
            </w14:solidFill>
          </w14:textFill>
        </w:rPr>
        <w:t xml:space="preserve"> has partnered up and became an official sponsor for MLSE teams.  </w:t>
      </w:r>
      <w:r>
        <w:rPr>
          <w:rStyle w:val="None"/>
          <w:outline w:val="0"/>
          <w:color w:val="222222"/>
          <w:u w:val="single" w:color="222222"/>
          <w:shd w:val="clear" w:color="auto" w:fill="fafafa"/>
          <w:rtl w:val="0"/>
          <w14:textFill>
            <w14:solidFill>
              <w14:srgbClr w14:val="222222"/>
            </w14:solidFill>
          </w14:textFill>
        </w:rPr>
        <w:t>Sobeys</w:t>
      </w:r>
      <w:r>
        <w:rPr>
          <w:rStyle w:val="None"/>
          <w:outline w:val="0"/>
          <w:color w:val="222222"/>
          <w:u w:color="222222"/>
          <w:shd w:val="clear" w:color="auto" w:fill="fafafa"/>
          <w:rtl w:val="0"/>
          <w:lang w:val="en-US"/>
          <w14:textFill>
            <w14:solidFill>
              <w14:srgbClr w14:val="222222"/>
            </w14:solidFill>
          </w14:textFill>
        </w:rPr>
        <w:t xml:space="preserve"> will be making their food available inside the Scotiabank Arena and at the games.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404040"/>
          <w:u w:color="404040"/>
          <w:shd w:val="clear" w:color="auto" w:fill="fafafa"/>
          <w:rtl w:val="0"/>
          <w:lang w:val="en-US"/>
          <w14:textFill>
            <w14:solidFill>
              <w14:srgbClr w14:val="404040"/>
            </w14:solidFill>
          </w14:textFill>
        </w:rPr>
        <w:t>Sobeys becomes official sponsor for MLSE teams</w:t>
      </w:r>
      <w:r>
        <w:rPr>
          <w:rStyle w:val="None"/>
          <w:outline w:val="0"/>
          <w:color w:val="404040"/>
          <w:u w:color="404040"/>
          <w:shd w:val="clear" w:color="auto" w:fill="fafafa"/>
          <w:rtl w:val="0"/>
          <w14:textFill>
            <w14:solidFill>
              <w14:srgbClr w14:val="404040"/>
            </w14:solidFill>
          </w14:textFill>
        </w:rPr>
        <w:t>”</w:t>
      </w:r>
      <w:r>
        <w:rPr>
          <w:rStyle w:val="None"/>
          <w:outline w:val="0"/>
          <w:color w:val="404040"/>
          <w:u w:color="404040"/>
          <w:shd w:val="clear" w:color="auto" w:fill="fafafa"/>
          <w:rtl w:val="0"/>
          <w14:textFill>
            <w14:solidFill>
              <w14:srgbClr w14:val="404040"/>
            </w14:solidFill>
          </w14:textFill>
        </w:rPr>
        <w:t>, 2018)</w:t>
      </w:r>
    </w:p>
    <w:p>
      <w:pPr>
        <w:pStyle w:val="Body"/>
        <w:numPr>
          <w:ilvl w:val="0"/>
          <w:numId w:val="42"/>
        </w:numPr>
        <w:bidi w:val="0"/>
        <w:ind w:right="0"/>
        <w:jc w:val="left"/>
        <w:rPr>
          <w:outline w:val="0"/>
          <w:color w:val="222222"/>
          <w:rtl w:val="0"/>
          <w14:textFill>
            <w14:solidFill>
              <w14:srgbClr w14:val="222222"/>
            </w14:solidFill>
          </w14:textFill>
        </w:rPr>
      </w:pPr>
      <w:r>
        <w:rPr>
          <w:rStyle w:val="None"/>
          <w:outline w:val="0"/>
          <w:color w:val="222222"/>
          <w:u w:val="single" w:color="222222"/>
          <w:shd w:val="clear" w:color="auto" w:fill="fafafa"/>
          <w:rtl w:val="0"/>
          <w14:textFill>
            <w14:solidFill>
              <w14:srgbClr w14:val="222222"/>
            </w14:solidFill>
          </w14:textFill>
        </w:rPr>
        <w:t>Sobeys</w:t>
      </w:r>
      <w:r>
        <w:rPr>
          <w:rStyle w:val="None"/>
          <w:outline w:val="0"/>
          <w:color w:val="222222"/>
          <w:u w:color="222222"/>
          <w:shd w:val="clear" w:color="auto" w:fill="fafafa"/>
          <w:rtl w:val="0"/>
          <w:lang w:val="en-US"/>
          <w14:textFill>
            <w14:solidFill>
              <w14:srgbClr w14:val="222222"/>
            </w14:solidFill>
          </w14:textFill>
        </w:rPr>
        <w:t xml:space="preserve"> has made a generous donation of $250,000 to the Special Olympics summer games as a celebration of the 100 day countdown to the summer games.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000000"/>
          <w:shd w:val="clear" w:color="auto" w:fill="fafafa"/>
          <w:rtl w:val="0"/>
          <w:lang w:val="en-US"/>
          <w14:textFill>
            <w14:solidFill>
              <w14:srgbClr w14:val="000000"/>
            </w14:solidFill>
          </w14:textFill>
        </w:rPr>
        <w:t>Sobeys Announces $250,000 for Special Olympics National Summer Games</w:t>
      </w:r>
      <w:r>
        <w:rPr>
          <w:rStyle w:val="None"/>
          <w:outline w:val="0"/>
          <w:color w:val="000000"/>
          <w:shd w:val="clear" w:color="auto" w:fill="fafafa"/>
          <w:rtl w:val="0"/>
          <w14:textFill>
            <w14:solidFill>
              <w14:srgbClr w14:val="000000"/>
            </w14:solidFill>
          </w14:textFill>
        </w:rPr>
        <w:t>”</w:t>
      </w:r>
      <w:r>
        <w:rPr>
          <w:rStyle w:val="None"/>
          <w:outline w:val="0"/>
          <w:color w:val="000000"/>
          <w:shd w:val="clear" w:color="auto" w:fill="fafafa"/>
          <w:rtl w:val="0"/>
          <w14:textFill>
            <w14:solidFill>
              <w14:srgbClr w14:val="000000"/>
            </w14:solidFill>
          </w14:textFill>
        </w:rPr>
        <w:t>, 2018)</w:t>
      </w:r>
    </w:p>
    <w:p>
      <w:pPr>
        <w:pStyle w:val="Body"/>
        <w:numPr>
          <w:ilvl w:val="0"/>
          <w:numId w:val="42"/>
        </w:numPr>
        <w:bidi w:val="0"/>
        <w:ind w:right="0"/>
        <w:jc w:val="left"/>
        <w:rPr>
          <w:outline w:val="0"/>
          <w:color w:val="222222"/>
          <w:rtl w:val="0"/>
          <w:lang w:val="it-IT"/>
          <w14:textFill>
            <w14:solidFill>
              <w14:srgbClr w14:val="222222"/>
            </w14:solidFill>
          </w14:textFill>
        </w:rPr>
      </w:pPr>
      <w:r>
        <w:rPr>
          <w:rStyle w:val="None"/>
          <w:outline w:val="0"/>
          <w:color w:val="222222"/>
          <w:u w:val="single" w:color="222222"/>
          <w:shd w:val="clear" w:color="auto" w:fill="ffffff"/>
          <w:rtl w:val="0"/>
          <w:lang w:val="it-IT"/>
          <w14:textFill>
            <w14:solidFill>
              <w14:srgbClr w14:val="222222"/>
            </w14:solidFill>
          </w14:textFill>
        </w:rPr>
        <w:t>Metro Ontario</w:t>
      </w:r>
      <w:r>
        <w:rPr>
          <w:rStyle w:val="None"/>
          <w:outline w:val="0"/>
          <w:color w:val="222222"/>
          <w:u w:color="222222"/>
          <w:shd w:val="clear" w:color="auto" w:fill="ffffff"/>
          <w:rtl w:val="0"/>
          <w:lang w:val="en-US"/>
          <w14:textFill>
            <w14:solidFill>
              <w14:srgbClr w14:val="222222"/>
            </w14:solidFill>
          </w14:textFill>
        </w:rPr>
        <w:t xml:space="preserve"> has created an aggressive summer campaign in 2014 with an integrated program that consists of partnerships,print advertising, in-store events, and online initiatives.  They were the exclusive grocery sponsor of the food festival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Taste of Toronto</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val="single" w:color="222222"/>
          <w:shd w:val="clear" w:color="auto" w:fill="ffffff"/>
          <w:rtl w:val="0"/>
          <w14:textFill>
            <w14:solidFill>
              <w14:srgbClr w14:val="222222"/>
            </w14:solidFill>
          </w14:textFill>
        </w:rPr>
        <w:t>Metro</w:t>
      </w:r>
      <w:r>
        <w:rPr>
          <w:rStyle w:val="None"/>
          <w:outline w:val="0"/>
          <w:color w:val="222222"/>
          <w:u w:color="222222"/>
          <w:shd w:val="clear" w:color="auto" w:fill="ffffff"/>
          <w:rtl w:val="0"/>
          <w:lang w:val="en-US"/>
          <w14:textFill>
            <w14:solidFill>
              <w14:srgbClr w14:val="222222"/>
            </w14:solidFill>
          </w14:textFill>
        </w:rPr>
        <w:t xml:space="preserve"> had many interactive experiences in the event such as the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val="single" w:color="222222"/>
          <w:shd w:val="clear" w:color="auto" w:fill="ffffff"/>
          <w:rtl w:val="0"/>
          <w14:textFill>
            <w14:solidFill>
              <w14:srgbClr w14:val="222222"/>
            </w14:solidFill>
          </w14:textFill>
        </w:rPr>
        <w:t>Metro</w:t>
      </w:r>
      <w:r>
        <w:rPr>
          <w:rStyle w:val="None"/>
          <w:outline w:val="0"/>
          <w:color w:val="222222"/>
          <w:u w:color="222222"/>
          <w:shd w:val="clear" w:color="auto" w:fill="ffffff"/>
          <w:rtl w:val="0"/>
          <w:lang w:val="da-DK"/>
          <w14:textFill>
            <w14:solidFill>
              <w14:srgbClr w14:val="222222"/>
            </w14:solidFill>
          </w14:textFill>
        </w:rPr>
        <w:t xml:space="preserve"> Master Class</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 xml:space="preserve">where people were able to learn to prepare their own dishes. And the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222222"/>
          <w:u w:val="single" w:color="222222"/>
          <w:shd w:val="clear" w:color="auto" w:fill="ffffff"/>
          <w:rtl w:val="0"/>
          <w14:textFill>
            <w14:solidFill>
              <w14:srgbClr w14:val="222222"/>
            </w14:solidFill>
          </w14:textFill>
        </w:rPr>
        <w:t>Metro</w:t>
      </w:r>
      <w:r>
        <w:rPr>
          <w:rStyle w:val="None"/>
          <w:outline w:val="0"/>
          <w:color w:val="222222"/>
          <w:u w:color="222222"/>
          <w:shd w:val="clear" w:color="auto" w:fill="ffffff"/>
          <w:rtl w:val="0"/>
          <w:lang w:val="en-US"/>
          <w14:textFill>
            <w14:solidFill>
              <w14:srgbClr w14:val="222222"/>
            </w14:solidFill>
          </w14:textFill>
        </w:rPr>
        <w:t xml:space="preserve"> Market &amp; Lounge</w:t>
      </w:r>
      <w:r>
        <w:rPr>
          <w:rStyle w:val="None"/>
          <w:outline w:val="0"/>
          <w:color w:val="222222"/>
          <w:u w:color="222222"/>
          <w:shd w:val="clear" w:color="auto" w:fill="ffffff"/>
          <w:rtl w:val="0"/>
          <w14:textFill>
            <w14:solidFill>
              <w14:srgbClr w14:val="222222"/>
            </w14:solidFill>
          </w14:textFill>
        </w:rPr>
        <w:t xml:space="preserve">” </w:t>
      </w:r>
      <w:r>
        <w:rPr>
          <w:rStyle w:val="None"/>
          <w:outline w:val="0"/>
          <w:color w:val="222222"/>
          <w:u w:color="222222"/>
          <w:shd w:val="clear" w:color="auto" w:fill="ffffff"/>
          <w:rtl w:val="0"/>
          <w:lang w:val="en-US"/>
          <w14:textFill>
            <w14:solidFill>
              <w14:srgbClr w14:val="222222"/>
            </w14:solidFill>
          </w14:textFill>
        </w:rPr>
        <w:t>which allowed a place for guests to relax and purchase ingredients from a virtual pop-up shop. (</w:t>
      </w:r>
      <w:r>
        <w:rPr>
          <w:rStyle w:val="None"/>
          <w:outline w:val="0"/>
          <w:color w:val="222222"/>
          <w:u w:color="222222"/>
          <w:shd w:val="clear" w:color="auto" w:fill="ffffff"/>
          <w:rtl w:val="1"/>
          <w:lang w:val="ar-SA" w:bidi="ar-SA"/>
          <w14:textFill>
            <w14:solidFill>
              <w14:srgbClr w14:val="222222"/>
            </w14:solidFill>
          </w14:textFill>
        </w:rPr>
        <w:t>“</w:t>
      </w:r>
      <w:r>
        <w:rPr>
          <w:rStyle w:val="None"/>
          <w:outline w:val="0"/>
          <w:color w:val="053a4f"/>
          <w:u w:color="053a4f"/>
          <w:shd w:val="clear" w:color="auto" w:fill="ffffff"/>
          <w:rtl w:val="0"/>
          <w:lang w:val="en-US"/>
          <w14:textFill>
            <w14:solidFill>
              <w14:srgbClr w14:val="053A4F"/>
            </w14:solidFill>
          </w14:textFill>
        </w:rPr>
        <w:t>Metro Ontario Launches Taste Summer Campaign</w:t>
      </w:r>
      <w:r>
        <w:rPr>
          <w:rStyle w:val="None"/>
          <w:outline w:val="0"/>
          <w:color w:val="053a4f"/>
          <w:u w:color="053a4f"/>
          <w:shd w:val="clear" w:color="auto" w:fill="ffffff"/>
          <w:rtl w:val="0"/>
          <w14:textFill>
            <w14:solidFill>
              <w14:srgbClr w14:val="053A4F"/>
            </w14:solidFill>
          </w14:textFill>
        </w:rPr>
        <w:t>”</w:t>
      </w:r>
      <w:r>
        <w:rPr>
          <w:rStyle w:val="None"/>
          <w:outline w:val="0"/>
          <w:color w:val="053a4f"/>
          <w:u w:color="053a4f"/>
          <w:shd w:val="clear" w:color="auto" w:fill="ffffff"/>
          <w:rtl w:val="0"/>
          <w14:textFill>
            <w14:solidFill>
              <w14:srgbClr w14:val="053A4F"/>
            </w14:solidFill>
          </w14:textFill>
        </w:rPr>
        <w:t>, 2014)</w:t>
      </w:r>
    </w:p>
    <w:p>
      <w:pPr>
        <w:pStyle w:val="Body"/>
        <w:numPr>
          <w:ilvl w:val="0"/>
          <w:numId w:val="42"/>
        </w:numPr>
        <w:bidi w:val="0"/>
        <w:ind w:right="0"/>
        <w:jc w:val="left"/>
        <w:rPr>
          <w:outline w:val="0"/>
          <w:color w:val="222222"/>
          <w:rtl w:val="0"/>
          <w:lang w:val="it-IT"/>
          <w14:textFill>
            <w14:solidFill>
              <w14:srgbClr w14:val="222222"/>
            </w14:solidFill>
          </w14:textFill>
        </w:rPr>
      </w:pPr>
      <w:r>
        <w:rPr>
          <w:rStyle w:val="None"/>
          <w:outline w:val="0"/>
          <w:color w:val="222222"/>
          <w:u w:val="single" w:color="222222"/>
          <w:shd w:val="clear" w:color="auto" w:fill="fafafa"/>
          <w:rtl w:val="0"/>
          <w:lang w:val="it-IT"/>
          <w14:textFill>
            <w14:solidFill>
              <w14:srgbClr w14:val="222222"/>
            </w14:solidFill>
          </w14:textFill>
        </w:rPr>
        <w:t>Metro Ontario</w:t>
      </w:r>
      <w:r>
        <w:rPr>
          <w:rStyle w:val="None"/>
          <w:outline w:val="0"/>
          <w:color w:val="222222"/>
          <w:u w:color="222222"/>
          <w:shd w:val="clear" w:color="auto" w:fill="fafafa"/>
          <w:rtl w:val="0"/>
          <w:lang w:val="en-US"/>
          <w14:textFill>
            <w14:solidFill>
              <w14:srgbClr w14:val="222222"/>
            </w14:solidFill>
          </w14:textFill>
        </w:rPr>
        <w:t xml:space="preserve"> is a returning sponsor of a culinary event called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222222"/>
          <w:u w:color="222222"/>
          <w:shd w:val="clear" w:color="auto" w:fill="fafafa"/>
          <w:rtl w:val="0"/>
          <w:lang w:val="en-US"/>
          <w14:textFill>
            <w14:solidFill>
              <w14:srgbClr w14:val="222222"/>
            </w14:solidFill>
          </w14:textFill>
        </w:rPr>
        <w:t>Taste of Toronto</w:t>
      </w:r>
      <w:r>
        <w:rPr>
          <w:rStyle w:val="None"/>
          <w:outline w:val="0"/>
          <w:color w:val="222222"/>
          <w:u w:color="222222"/>
          <w:shd w:val="clear" w:color="auto" w:fill="fafafa"/>
          <w:rtl w:val="0"/>
          <w14:textFill>
            <w14:solidFill>
              <w14:srgbClr w14:val="222222"/>
            </w14:solidFill>
          </w14:textFill>
        </w:rPr>
        <w:t xml:space="preserve">” </w:t>
      </w:r>
      <w:r>
        <w:rPr>
          <w:rStyle w:val="None"/>
          <w:outline w:val="0"/>
          <w:color w:val="222222"/>
          <w:u w:color="222222"/>
          <w:shd w:val="clear" w:color="auto" w:fill="fafafa"/>
          <w:rtl w:val="0"/>
          <w:lang w:val="en-US"/>
          <w14:textFill>
            <w14:solidFill>
              <w14:srgbClr w14:val="222222"/>
            </w14:solidFill>
          </w14:textFill>
        </w:rPr>
        <w:t xml:space="preserve">the event allows people to prepare and taste many dishes alongside local celebrity chefs all while using </w:t>
      </w:r>
      <w:r>
        <w:rPr>
          <w:rStyle w:val="None"/>
          <w:outline w:val="0"/>
          <w:color w:val="222222"/>
          <w:u w:val="single" w:color="222222"/>
          <w:shd w:val="clear" w:color="auto" w:fill="fafafa"/>
          <w:rtl w:val="0"/>
          <w14:textFill>
            <w14:solidFill>
              <w14:srgbClr w14:val="222222"/>
            </w14:solidFill>
          </w14:textFill>
        </w:rPr>
        <w:t>Metro</w:t>
      </w:r>
      <w:r>
        <w:rPr>
          <w:rStyle w:val="None"/>
          <w:outline w:val="0"/>
          <w:color w:val="222222"/>
          <w:u w:val="single" w:color="222222"/>
          <w:shd w:val="clear" w:color="auto" w:fill="fafafa"/>
          <w:rtl w:val="1"/>
          <w14:textFill>
            <w14:solidFill>
              <w14:srgbClr w14:val="222222"/>
            </w14:solidFill>
          </w14:textFill>
        </w:rPr>
        <w:t>’</w:t>
      </w:r>
      <w:r>
        <w:rPr>
          <w:rStyle w:val="None"/>
          <w:outline w:val="0"/>
          <w:color w:val="222222"/>
          <w:u w:val="single" w:color="222222"/>
          <w:shd w:val="clear" w:color="auto" w:fill="fafafa"/>
          <w:rtl w:val="0"/>
          <w14:textFill>
            <w14:solidFill>
              <w14:srgbClr w14:val="222222"/>
            </w14:solidFill>
          </w14:textFill>
        </w:rPr>
        <w:t>s</w:t>
      </w:r>
      <w:r>
        <w:rPr>
          <w:rStyle w:val="None"/>
          <w:outline w:val="0"/>
          <w:color w:val="222222"/>
          <w:u w:color="222222"/>
          <w:shd w:val="clear" w:color="auto" w:fill="fafafa"/>
          <w:rtl w:val="0"/>
          <w:lang w:val="en-US"/>
          <w14:textFill>
            <w14:solidFill>
              <w14:srgbClr w14:val="222222"/>
            </w14:solidFill>
          </w14:textFill>
        </w:rPr>
        <w:t xml:space="preserve"> supplied ingredients.  </w:t>
      </w:r>
      <w:r>
        <w:rPr>
          <w:rStyle w:val="None"/>
          <w:outline w:val="0"/>
          <w:color w:val="222222"/>
          <w:u w:val="single" w:color="222222"/>
          <w:shd w:val="clear" w:color="auto" w:fill="fafafa"/>
          <w:rtl w:val="0"/>
          <w14:textFill>
            <w14:solidFill>
              <w14:srgbClr w14:val="222222"/>
            </w14:solidFill>
          </w14:textFill>
        </w:rPr>
        <w:t>Metro</w:t>
      </w:r>
      <w:r>
        <w:rPr>
          <w:rStyle w:val="None"/>
          <w:outline w:val="0"/>
          <w:color w:val="222222"/>
          <w:u w:color="222222"/>
          <w:shd w:val="clear" w:color="auto" w:fill="fafafa"/>
          <w:rtl w:val="0"/>
          <w:lang w:val="en-US"/>
          <w14:textFill>
            <w14:solidFill>
              <w14:srgbClr w14:val="222222"/>
            </w14:solidFill>
          </w14:textFill>
        </w:rPr>
        <w:t xml:space="preserve"> will be hosting 20 sessions throughout the event. (</w:t>
      </w:r>
      <w:r>
        <w:rPr>
          <w:rStyle w:val="None"/>
          <w:outline w:val="0"/>
          <w:color w:val="222222"/>
          <w:u w:color="222222"/>
          <w:shd w:val="clear" w:color="auto" w:fill="fafafa"/>
          <w:rtl w:val="1"/>
          <w:lang w:val="ar-SA" w:bidi="ar-SA"/>
          <w14:textFill>
            <w14:solidFill>
              <w14:srgbClr w14:val="222222"/>
            </w14:solidFill>
          </w14:textFill>
        </w:rPr>
        <w:t>“</w:t>
      </w:r>
      <w:r>
        <w:rPr>
          <w:rStyle w:val="None"/>
          <w:outline w:val="0"/>
          <w:color w:val="222222"/>
          <w:u w:color="222222"/>
          <w:shd w:val="clear" w:color="auto" w:fill="ffffff"/>
          <w:rtl w:val="0"/>
          <w:lang w:val="en-US"/>
          <w14:textFill>
            <w14:solidFill>
              <w14:srgbClr w14:val="222222"/>
            </w14:solidFill>
          </w14:textFill>
        </w:rPr>
        <w:t>Metro Ontario returns as sponsor of Toronto culinary event</w:t>
      </w:r>
      <w:r>
        <w:rPr>
          <w:rStyle w:val="None"/>
          <w:outline w:val="0"/>
          <w:color w:val="222222"/>
          <w:u w:color="222222"/>
          <w:shd w:val="clear" w:color="auto" w:fill="ffffff"/>
          <w:rtl w:val="0"/>
          <w14:textFill>
            <w14:solidFill>
              <w14:srgbClr w14:val="222222"/>
            </w14:solidFill>
          </w14:textFill>
        </w:rPr>
        <w:t>”</w:t>
      </w:r>
      <w:r>
        <w:rPr>
          <w:rStyle w:val="None"/>
          <w:outline w:val="0"/>
          <w:color w:val="222222"/>
          <w:u w:color="222222"/>
          <w:shd w:val="clear" w:color="auto" w:fill="ffffff"/>
          <w:rtl w:val="0"/>
          <w14:textFill>
            <w14:solidFill>
              <w14:srgbClr w14:val="222222"/>
            </w14:solidFill>
          </w14:textFill>
        </w:rPr>
        <w:t>, 2017)</w:t>
      </w:r>
    </w:p>
    <w:p>
      <w:pPr>
        <w:pStyle w:val="Body"/>
        <w:rPr>
          <w:rStyle w:val="None"/>
          <w:outline w:val="0"/>
          <w:color w:val="222222"/>
          <w:u w:color="222222"/>
          <w:shd w:val="clear" w:color="auto" w:fill="ffffff"/>
          <w14:textFill>
            <w14:solidFill>
              <w14:srgbClr w14:val="222222"/>
            </w14:solidFill>
          </w14:textFill>
        </w:rPr>
      </w:pPr>
    </w:p>
    <w:p>
      <w:pPr>
        <w:pStyle w:val="Body"/>
      </w:pPr>
    </w:p>
    <w:tbl>
      <w:tblPr>
        <w:tblW w:w="9355" w:type="dxa"/>
        <w:jc w:val="left"/>
        <w:tblInd w:w="10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6"/>
        <w:gridCol w:w="1129"/>
        <w:gridCol w:w="1143"/>
        <w:gridCol w:w="1263"/>
        <w:gridCol w:w="1142"/>
        <w:gridCol w:w="1156"/>
        <w:gridCol w:w="1143"/>
        <w:gridCol w:w="1183"/>
      </w:tblGrid>
      <w:tr>
        <w:tblPrEx>
          <w:shd w:val="clear" w:color="auto" w:fill="ced7e7"/>
        </w:tblPrEx>
        <w:trPr>
          <w:trHeight w:val="555" w:hRule="atLeast"/>
        </w:trPr>
        <w:tc>
          <w:tcPr>
            <w:tcW w:type="dxa" w:w="9355"/>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fe2f3"/>
            <w:tcMar>
              <w:top w:type="dxa" w:w="80"/>
              <w:left w:type="dxa" w:w="80"/>
              <w:bottom w:type="dxa" w:w="80"/>
              <w:right w:type="dxa" w:w="80"/>
            </w:tcMar>
            <w:vAlign w:val="top"/>
          </w:tcPr>
          <w:p>
            <w:pPr>
              <w:pStyle w:val="Body"/>
              <w:widowControl w:val="0"/>
              <w:jc w:val="center"/>
            </w:pPr>
            <w:r>
              <w:rPr>
                <w:rStyle w:val="None"/>
                <w:b w:val="1"/>
                <w:bCs w:val="1"/>
                <w:rtl w:val="0"/>
                <w:lang w:val="en-US"/>
              </w:rPr>
              <w:t xml:space="preserve">Grocery Stores </w:t>
            </w:r>
            <w:r>
              <w:rPr>
                <w:rStyle w:val="None"/>
                <w:b w:val="1"/>
                <w:bCs w:val="1"/>
                <w:rtl w:val="0"/>
                <w:lang w:val="en-US"/>
              </w:rPr>
              <w:t xml:space="preserve">– </w:t>
            </w:r>
            <w:r>
              <w:rPr>
                <w:rStyle w:val="None"/>
                <w:b w:val="1"/>
                <w:bCs w:val="1"/>
                <w:rtl w:val="0"/>
                <w:lang w:val="en-US"/>
              </w:rPr>
              <w:t>Share of Voice (%)</w:t>
            </w:r>
          </w:p>
        </w:tc>
      </w:tr>
      <w:tr>
        <w:tblPrEx>
          <w:shd w:val="clear" w:color="auto" w:fill="ced7e7"/>
        </w:tblPrEx>
        <w:trPr>
          <w:trHeight w:val="555" w:hRule="atLeast"/>
        </w:trPr>
        <w:tc>
          <w:tcPr>
            <w:tcW w:type="dxa" w:w="11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Brand</w:t>
            </w:r>
          </w:p>
        </w:tc>
        <w:tc>
          <w:tcPr>
            <w:tcW w:type="dxa" w:w="11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Total</w:t>
            </w:r>
          </w:p>
        </w:tc>
        <w:tc>
          <w:tcPr>
            <w:tcW w:type="dxa" w:w="11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News.</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Magazine</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OOH</w:t>
            </w:r>
          </w:p>
        </w:tc>
        <w:tc>
          <w:tcPr>
            <w:tcW w:type="dxa" w:w="1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Radio</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TV</w:t>
            </w:r>
          </w:p>
        </w:tc>
        <w:tc>
          <w:tcPr>
            <w:tcW w:type="dxa" w:w="11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Online</w:t>
            </w:r>
          </w:p>
        </w:tc>
      </w:tr>
      <w:tr>
        <w:tblPrEx>
          <w:shd w:val="clear" w:color="auto" w:fill="ced7e7"/>
        </w:tblPrEx>
        <w:trPr>
          <w:trHeight w:val="555" w:hRule="atLeast"/>
        </w:trPr>
        <w:tc>
          <w:tcPr>
            <w:tcW w:type="dxa" w:w="11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Loblaws</w:t>
            </w:r>
          </w:p>
        </w:tc>
        <w:tc>
          <w:tcPr>
            <w:tcW w:type="dxa" w:w="11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10.12</w:t>
            </w:r>
          </w:p>
        </w:tc>
        <w:tc>
          <w:tcPr>
            <w:tcW w:type="dxa" w:w="11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11.91</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Body"/>
              <w:widowControl w:val="0"/>
              <w:jc w:val="right"/>
            </w:pPr>
            <w:r>
              <w:rPr>
                <w:rStyle w:val="None"/>
                <w:rtl w:val="0"/>
                <w:lang w:val="en-US"/>
              </w:rPr>
              <w:t>41.51</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0.21</w:t>
            </w:r>
          </w:p>
        </w:tc>
        <w:tc>
          <w:tcPr>
            <w:tcW w:type="dxa" w:w="1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1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16.77</w:t>
            </w:r>
          </w:p>
        </w:tc>
      </w:tr>
      <w:tr>
        <w:tblPrEx>
          <w:shd w:val="clear" w:color="auto" w:fill="ced7e7"/>
        </w:tblPrEx>
        <w:trPr>
          <w:trHeight w:val="555" w:hRule="atLeast"/>
        </w:trPr>
        <w:tc>
          <w:tcPr>
            <w:tcW w:type="dxa" w:w="11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Sobeys</w:t>
            </w:r>
          </w:p>
        </w:tc>
        <w:tc>
          <w:tcPr>
            <w:tcW w:type="dxa" w:w="11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8.46</w:t>
            </w:r>
          </w:p>
        </w:tc>
        <w:tc>
          <w:tcPr>
            <w:tcW w:type="dxa" w:w="11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14.85</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6.62</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9.74</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1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8.85</w:t>
            </w:r>
          </w:p>
        </w:tc>
      </w:tr>
      <w:tr>
        <w:tblPrEx>
          <w:shd w:val="clear" w:color="auto" w:fill="ced7e7"/>
        </w:tblPrEx>
        <w:trPr>
          <w:trHeight w:val="555" w:hRule="atLeast"/>
        </w:trPr>
        <w:tc>
          <w:tcPr>
            <w:tcW w:type="dxa" w:w="11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Metro</w:t>
            </w:r>
          </w:p>
        </w:tc>
        <w:tc>
          <w:tcPr>
            <w:tcW w:type="dxa" w:w="11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12.23</w:t>
            </w:r>
          </w:p>
        </w:tc>
        <w:tc>
          <w:tcPr>
            <w:tcW w:type="dxa" w:w="114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16.39</w:t>
            </w:r>
          </w:p>
        </w:tc>
        <w:tc>
          <w:tcPr>
            <w:tcW w:type="dxa" w:w="12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8.23</w:t>
            </w:r>
          </w:p>
        </w:tc>
        <w:tc>
          <w:tcPr>
            <w:tcW w:type="dxa" w:w="1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3.2</w:t>
            </w:r>
          </w:p>
        </w:tc>
        <w:tc>
          <w:tcPr>
            <w:tcW w:type="dxa" w:w="11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2cc"/>
            <w:tcMar>
              <w:top w:type="dxa" w:w="80"/>
              <w:left w:type="dxa" w:w="80"/>
              <w:bottom w:type="dxa" w:w="80"/>
              <w:right w:type="dxa" w:w="80"/>
            </w:tcMar>
            <w:vAlign w:val="top"/>
          </w:tcPr>
          <w:p>
            <w:pPr>
              <w:pStyle w:val="Body"/>
              <w:widowControl w:val="0"/>
              <w:jc w:val="right"/>
            </w:pPr>
            <w:r>
              <w:rPr>
                <w:rStyle w:val="None"/>
                <w:rtl w:val="0"/>
                <w:lang w:val="en-US"/>
              </w:rPr>
              <w:t>22.03</w:t>
            </w:r>
          </w:p>
        </w:tc>
        <w:tc>
          <w:tcPr>
            <w:tcW w:type="dxa" w:w="11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18.21</w:t>
            </w:r>
          </w:p>
        </w:tc>
      </w:tr>
    </w:tbl>
    <w:p>
      <w:pPr>
        <w:pStyle w:val="Body"/>
        <w:widowControl w:val="0"/>
        <w:spacing w:line="240" w:lineRule="auto"/>
        <w:ind w:left="936" w:hanging="936"/>
      </w:pPr>
    </w:p>
    <w:p>
      <w:pPr>
        <w:pStyle w:val="Body"/>
        <w:rPr>
          <w:rStyle w:val="None"/>
          <w:sz w:val="20"/>
          <w:szCs w:val="20"/>
        </w:rPr>
      </w:pPr>
      <w:r>
        <w:rPr>
          <w:rStyle w:val="None"/>
          <w:sz w:val="20"/>
          <w:szCs w:val="20"/>
          <w:rtl w:val="0"/>
          <w:lang w:val="en-US"/>
        </w:rPr>
        <w:t>Source: Competitor Media Spending (Grocery).</w:t>
      </w:r>
    </w:p>
    <w:p>
      <w:pPr>
        <w:pStyle w:val="Body"/>
      </w:pPr>
    </w:p>
    <w:p>
      <w:pPr>
        <w:pStyle w:val="Body"/>
        <w:numPr>
          <w:ilvl w:val="0"/>
          <w:numId w:val="44"/>
        </w:numPr>
        <w:bidi w:val="0"/>
        <w:ind w:right="0"/>
        <w:jc w:val="left"/>
        <w:rPr>
          <w:rtl w:val="0"/>
          <w:lang w:val="en-US"/>
        </w:rPr>
      </w:pPr>
      <w:r>
        <w:rPr>
          <w:rStyle w:val="Hyperlink.1"/>
          <w:rtl w:val="0"/>
          <w:lang w:val="en-US"/>
        </w:rPr>
        <w:t xml:space="preserve">Based on the Share of Voice, </w:t>
      </w:r>
      <w:r>
        <w:rPr>
          <w:rStyle w:val="None"/>
          <w:u w:val="single"/>
          <w:rtl w:val="0"/>
          <w:lang w:val="en-US"/>
        </w:rPr>
        <w:t>Loblaws</w:t>
      </w:r>
      <w:r>
        <w:rPr>
          <w:rStyle w:val="Hyperlink.1"/>
          <w:rtl w:val="0"/>
          <w:lang w:val="en-US"/>
        </w:rPr>
        <w:t xml:space="preserve"> is spending the most money in Magazine with a share of 41.51% compared to the competitors.</w:t>
      </w:r>
    </w:p>
    <w:p>
      <w:pPr>
        <w:pStyle w:val="Body"/>
        <w:numPr>
          <w:ilvl w:val="0"/>
          <w:numId w:val="44"/>
        </w:numPr>
        <w:bidi w:val="0"/>
        <w:ind w:right="0"/>
        <w:jc w:val="left"/>
        <w:rPr>
          <w:rtl w:val="0"/>
        </w:rPr>
      </w:pPr>
      <w:r>
        <w:rPr>
          <w:rStyle w:val="None"/>
          <w:u w:val="single"/>
          <w:rtl w:val="0"/>
        </w:rPr>
        <w:t>Metro</w:t>
      </w:r>
      <w:r>
        <w:rPr>
          <w:rStyle w:val="Hyperlink.1"/>
          <w:rtl w:val="0"/>
          <w:lang w:val="en-US"/>
        </w:rPr>
        <w:t xml:space="preserve"> is spending the most and is the only competitor with shares of 22.03%</w:t>
      </w:r>
    </w:p>
    <w:p>
      <w:pPr>
        <w:pStyle w:val="Body"/>
      </w:pPr>
    </w:p>
    <w:tbl>
      <w:tblPr>
        <w:tblW w:w="9360" w:type="dxa"/>
        <w:jc w:val="left"/>
        <w:tblInd w:w="10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29"/>
        <w:gridCol w:w="1316"/>
        <w:gridCol w:w="1357"/>
        <w:gridCol w:w="1329"/>
        <w:gridCol w:w="1343"/>
        <w:gridCol w:w="1343"/>
        <w:gridCol w:w="1343"/>
      </w:tblGrid>
      <w:tr>
        <w:tblPrEx>
          <w:shd w:val="clear" w:color="auto" w:fill="ced7e7"/>
        </w:tblPrEx>
        <w:trPr>
          <w:trHeight w:val="555" w:hRule="atLeast"/>
        </w:trPr>
        <w:tc>
          <w:tcPr>
            <w:tcW w:type="dxa" w:w="936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9daf8"/>
            <w:tcMar>
              <w:top w:type="dxa" w:w="80"/>
              <w:left w:type="dxa" w:w="80"/>
              <w:bottom w:type="dxa" w:w="80"/>
              <w:right w:type="dxa" w:w="80"/>
            </w:tcMar>
            <w:vAlign w:val="top"/>
          </w:tcPr>
          <w:p>
            <w:pPr>
              <w:pStyle w:val="Body"/>
              <w:widowControl w:val="0"/>
              <w:jc w:val="center"/>
            </w:pPr>
            <w:r>
              <w:rPr>
                <w:rStyle w:val="None"/>
                <w:b w:val="1"/>
                <w:bCs w:val="1"/>
                <w:rtl w:val="0"/>
                <w:lang w:val="en-US"/>
              </w:rPr>
              <w:t xml:space="preserve">Grocery Stores </w:t>
            </w:r>
            <w:r>
              <w:rPr>
                <w:rStyle w:val="None"/>
                <w:b w:val="1"/>
                <w:bCs w:val="1"/>
                <w:rtl w:val="0"/>
                <w:lang w:val="en-US"/>
              </w:rPr>
              <w:t xml:space="preserve">– </w:t>
            </w:r>
            <w:r>
              <w:rPr>
                <w:rStyle w:val="None"/>
                <w:b w:val="1"/>
                <w:bCs w:val="1"/>
                <w:rtl w:val="0"/>
                <w:lang w:val="en-US"/>
              </w:rPr>
              <w:t>Spend by Medium (%)</w:t>
            </w:r>
          </w:p>
        </w:tc>
      </w:tr>
      <w:tr>
        <w:tblPrEx>
          <w:shd w:val="clear" w:color="auto" w:fill="ced7e7"/>
        </w:tblPrEx>
        <w:trPr>
          <w:trHeight w:val="535" w:hRule="atLeast"/>
        </w:trPr>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Brand</w:t>
            </w:r>
          </w:p>
        </w:tc>
        <w:tc>
          <w:tcPr>
            <w:tcW w:type="dxa" w:w="1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News.</w:t>
            </w:r>
          </w:p>
        </w:tc>
        <w:tc>
          <w:tcPr>
            <w:tcW w:type="dxa" w:w="13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Magazine</w:t>
            </w:r>
          </w:p>
        </w:tc>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OOH</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Radio</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TV</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center"/>
            </w:pPr>
            <w:r>
              <w:rPr>
                <w:rStyle w:val="None"/>
                <w:b w:val="1"/>
                <w:bCs w:val="1"/>
                <w:rtl w:val="0"/>
                <w:lang w:val="en-US"/>
              </w:rPr>
              <w:t>Online</w:t>
            </w:r>
          </w:p>
        </w:tc>
      </w:tr>
      <w:tr>
        <w:tblPrEx>
          <w:shd w:val="clear" w:color="auto" w:fill="ced7e7"/>
        </w:tblPrEx>
        <w:trPr>
          <w:trHeight w:val="555" w:hRule="atLeast"/>
        </w:trPr>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Loblaws</w:t>
            </w:r>
          </w:p>
        </w:tc>
        <w:tc>
          <w:tcPr>
            <w:tcW w:type="dxa" w:w="1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32.67</w:t>
            </w:r>
          </w:p>
        </w:tc>
        <w:tc>
          <w:tcPr>
            <w:tcW w:type="dxa" w:w="13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39.15</w:t>
            </w:r>
          </w:p>
        </w:tc>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0.19</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28</w:t>
            </w:r>
          </w:p>
        </w:tc>
      </w:tr>
      <w:tr>
        <w:tblPrEx>
          <w:shd w:val="clear" w:color="auto" w:fill="ced7e7"/>
        </w:tblPrEx>
        <w:trPr>
          <w:trHeight w:val="555" w:hRule="atLeast"/>
        </w:trPr>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Sobeys</w:t>
            </w:r>
          </w:p>
        </w:tc>
        <w:tc>
          <w:tcPr>
            <w:tcW w:type="dxa" w:w="1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48.72</w:t>
            </w:r>
          </w:p>
        </w:tc>
        <w:tc>
          <w:tcPr>
            <w:tcW w:type="dxa" w:w="13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7.48</w:t>
            </w:r>
          </w:p>
        </w:tc>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42.43</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17.69</w:t>
            </w:r>
          </w:p>
        </w:tc>
      </w:tr>
      <w:tr>
        <w:tblPrEx>
          <w:shd w:val="clear" w:color="auto" w:fill="ced7e7"/>
        </w:tblPrEx>
        <w:trPr>
          <w:trHeight w:val="555" w:hRule="atLeast"/>
        </w:trPr>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Metro</w:t>
            </w:r>
          </w:p>
        </w:tc>
        <w:tc>
          <w:tcPr>
            <w:tcW w:type="dxa" w:w="1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37.19</w:t>
            </w:r>
          </w:p>
        </w:tc>
        <w:tc>
          <w:tcPr>
            <w:tcW w:type="dxa" w:w="13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N/A</w:t>
            </w:r>
          </w:p>
        </w:tc>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5.96</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5.94</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25.75</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top"/>
          </w:tcPr>
          <w:p>
            <w:pPr>
              <w:pStyle w:val="Body"/>
              <w:widowControl w:val="0"/>
              <w:jc w:val="right"/>
            </w:pPr>
            <w:r>
              <w:rPr>
                <w:rStyle w:val="None"/>
                <w:rtl w:val="0"/>
                <w:lang w:val="en-US"/>
              </w:rPr>
              <w:t>25.16</w:t>
            </w:r>
          </w:p>
        </w:tc>
      </w:tr>
      <w:tr>
        <w:tblPrEx>
          <w:shd w:val="clear" w:color="auto" w:fill="ced7e7"/>
        </w:tblPrEx>
        <w:trPr>
          <w:trHeight w:val="555" w:hRule="atLeast"/>
        </w:trPr>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Style w:val="None"/>
                <w:rtl w:val="0"/>
                <w:lang w:val="en-US"/>
              </w:rPr>
              <w:t>Total</w:t>
            </w:r>
          </w:p>
        </w:tc>
        <w:tc>
          <w:tcPr>
            <w:tcW w:type="dxa" w:w="1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27.74</w:t>
            </w:r>
          </w:p>
        </w:tc>
        <w:tc>
          <w:tcPr>
            <w:tcW w:type="dxa" w:w="13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9.54</w:t>
            </w:r>
          </w:p>
        </w:tc>
        <w:tc>
          <w:tcPr>
            <w:tcW w:type="dxa" w:w="132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8.86</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22.68</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14.29</w:t>
            </w:r>
          </w:p>
        </w:tc>
        <w:tc>
          <w:tcPr>
            <w:tcW w:type="dxa" w:w="134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jc w:val="right"/>
            </w:pPr>
            <w:r>
              <w:rPr>
                <w:rStyle w:val="None"/>
                <w:rtl w:val="0"/>
                <w:lang w:val="en-US"/>
              </w:rPr>
              <w:t>16.89</w:t>
            </w:r>
          </w:p>
        </w:tc>
      </w:tr>
    </w:tbl>
    <w:p>
      <w:pPr>
        <w:pStyle w:val="Body"/>
        <w:widowControl w:val="0"/>
        <w:spacing w:line="240" w:lineRule="auto"/>
        <w:ind w:left="936" w:hanging="936"/>
      </w:pPr>
    </w:p>
    <w:p>
      <w:pPr>
        <w:pStyle w:val="Body"/>
        <w:rPr>
          <w:rStyle w:val="None"/>
          <w:sz w:val="20"/>
          <w:szCs w:val="20"/>
        </w:rPr>
      </w:pPr>
      <w:r>
        <w:rPr>
          <w:rStyle w:val="None"/>
          <w:sz w:val="20"/>
          <w:szCs w:val="20"/>
          <w:rtl w:val="0"/>
          <w:lang w:val="en-US"/>
        </w:rPr>
        <w:t>Source: Competitor Media Spending (Grocery).</w:t>
      </w:r>
    </w:p>
    <w:p>
      <w:pPr>
        <w:pStyle w:val="Body"/>
        <w:rPr>
          <w:rStyle w:val="Hyperlink.1"/>
          <w:sz w:val="20"/>
          <w:szCs w:val="20"/>
        </w:rPr>
      </w:pPr>
    </w:p>
    <w:p>
      <w:pPr>
        <w:pStyle w:val="Body"/>
        <w:numPr>
          <w:ilvl w:val="0"/>
          <w:numId w:val="46"/>
        </w:numPr>
        <w:bidi w:val="0"/>
        <w:ind w:right="0"/>
        <w:jc w:val="left"/>
        <w:rPr>
          <w:rtl w:val="0"/>
          <w:lang w:val="en-US"/>
        </w:rPr>
      </w:pPr>
      <w:r>
        <w:rPr>
          <w:rStyle w:val="Hyperlink.1"/>
          <w:rtl w:val="0"/>
          <w:lang w:val="en-US"/>
        </w:rPr>
        <w:t xml:space="preserve">Based off of the Chart </w:t>
      </w:r>
      <w:r>
        <w:rPr>
          <w:rStyle w:val="None"/>
          <w:u w:val="single"/>
          <w:rtl w:val="0"/>
          <w:lang w:val="en-US"/>
        </w:rPr>
        <w:t>Loblaws</w:t>
      </w:r>
      <w:r>
        <w:rPr>
          <w:rStyle w:val="Hyperlink.1"/>
          <w:rtl w:val="0"/>
          <w:lang w:val="en-US"/>
        </w:rPr>
        <w:t xml:space="preserve"> has a larger medium in newspapers and magazines, newspaper has a percentage of 32.67% and magazines has a percentage of 39.15%</w:t>
      </w:r>
    </w:p>
    <w:p>
      <w:pPr>
        <w:pStyle w:val="Body"/>
        <w:numPr>
          <w:ilvl w:val="0"/>
          <w:numId w:val="46"/>
        </w:numPr>
        <w:bidi w:val="0"/>
        <w:ind w:right="0"/>
        <w:jc w:val="left"/>
        <w:rPr>
          <w:rtl w:val="0"/>
          <w:lang w:val="en-US"/>
        </w:rPr>
      </w:pPr>
      <w:r>
        <w:rPr>
          <w:rStyle w:val="Hyperlink.1"/>
          <w:rtl w:val="0"/>
          <w:lang w:val="en-US"/>
        </w:rPr>
        <w:t>A common medium seems to be newspapers as all brands are spending a significant amount into it.</w:t>
      </w:r>
    </w:p>
    <w:p>
      <w:pPr>
        <w:pStyle w:val="Body"/>
        <w:numPr>
          <w:ilvl w:val="0"/>
          <w:numId w:val="46"/>
        </w:numPr>
      </w:pPr>
      <w:r>
        <w:rPr>
          <w:rStyle w:val="None"/>
          <w:u w:val="single"/>
          <w:rtl w:val="0"/>
        </w:rPr>
        <w:t>Sobeys</w:t>
      </w:r>
      <w:r>
        <w:rPr>
          <w:rStyle w:val="Hyperlink.1"/>
          <w:rtl w:val="0"/>
          <w:lang w:val="en-US"/>
        </w:rPr>
        <w:t xml:space="preserve"> has the highest percentage in Radio at 42.43%.  </w:t>
      </w:r>
    </w:p>
    <w:p>
      <w:pPr>
        <w:pStyle w:val="Body"/>
      </w:pPr>
      <w:r>
        <w:rPr>
          <w:rStyle w:val="Hyperlink.1"/>
        </w:rPr>
        <w:drawing>
          <wp:inline distT="0" distB="0" distL="0" distR="0">
            <wp:extent cx="5943600" cy="3644900"/>
            <wp:effectExtent l="0" t="0" r="0" b="0"/>
            <wp:docPr id="1073741829" name="officeArt object" descr="Points scored"/>
            <wp:cNvGraphicFramePr/>
            <a:graphic xmlns:a="http://schemas.openxmlformats.org/drawingml/2006/main">
              <a:graphicData uri="http://schemas.openxmlformats.org/drawingml/2006/picture">
                <pic:pic xmlns:pic="http://schemas.openxmlformats.org/drawingml/2006/picture">
                  <pic:nvPicPr>
                    <pic:cNvPr id="1073741829" name="Points scored" descr="Points scored"/>
                    <pic:cNvPicPr>
                      <a:picLocks noChangeAspect="1"/>
                    </pic:cNvPicPr>
                  </pic:nvPicPr>
                  <pic:blipFill>
                    <a:blip r:embed="rId8">
                      <a:extLst/>
                    </a:blip>
                    <a:stretch>
                      <a:fillRect/>
                    </a:stretch>
                  </pic:blipFill>
                  <pic:spPr>
                    <a:xfrm>
                      <a:off x="0" y="0"/>
                      <a:ext cx="5943600" cy="3644900"/>
                    </a:xfrm>
                    <a:prstGeom prst="rect">
                      <a:avLst/>
                    </a:prstGeom>
                    <a:ln w="12700" cap="flat">
                      <a:noFill/>
                      <a:miter lim="400000"/>
                    </a:ln>
                    <a:effectLst/>
                  </pic:spPr>
                </pic:pic>
              </a:graphicData>
            </a:graphic>
          </wp:inline>
        </w:drawing>
      </w:r>
    </w:p>
    <w:p>
      <w:pPr>
        <w:pStyle w:val="Body"/>
      </w:pPr>
      <w:r>
        <w:rPr>
          <w:rStyle w:val="None"/>
          <w:sz w:val="20"/>
          <w:szCs w:val="20"/>
          <w:rtl w:val="0"/>
          <w:lang w:val="en-US"/>
        </w:rPr>
        <w:t>Source: Competitor Media Spending (Grocery).</w:t>
      </w:r>
    </w:p>
    <w:p>
      <w:pPr>
        <w:pStyle w:val="Body"/>
      </w:pPr>
    </w:p>
    <w:p>
      <w:pPr>
        <w:pStyle w:val="Body"/>
        <w:numPr>
          <w:ilvl w:val="0"/>
          <w:numId w:val="48"/>
        </w:numPr>
      </w:pPr>
      <w:r>
        <w:rPr>
          <w:rStyle w:val="None"/>
          <w:u w:val="single"/>
          <w:rtl w:val="0"/>
        </w:rPr>
        <w:t>Metro</w:t>
      </w:r>
      <w:r>
        <w:rPr>
          <w:rStyle w:val="Hyperlink.1"/>
          <w:rtl w:val="0"/>
          <w:lang w:val="en-US"/>
        </w:rPr>
        <w:t xml:space="preserve"> peaked in total media spending in 2014, they still maintain the highest in total media spending.</w:t>
      </w:r>
    </w:p>
    <w:p>
      <w:pPr>
        <w:pStyle w:val="Body"/>
        <w:numPr>
          <w:ilvl w:val="0"/>
          <w:numId w:val="48"/>
        </w:numPr>
        <w:bidi w:val="0"/>
        <w:ind w:right="0"/>
        <w:jc w:val="left"/>
        <w:rPr>
          <w:rtl w:val="0"/>
          <w:lang w:val="en-US"/>
        </w:rPr>
      </w:pPr>
      <w:r>
        <w:rPr>
          <w:rStyle w:val="None"/>
          <w:u w:val="single"/>
          <w:rtl w:val="0"/>
          <w:lang w:val="en-US"/>
        </w:rPr>
        <w:t>Loblaws</w:t>
      </w:r>
      <w:r>
        <w:rPr>
          <w:rStyle w:val="Hyperlink.1"/>
          <w:rtl w:val="0"/>
          <w:lang w:val="en-US"/>
        </w:rPr>
        <w:t xml:space="preserve"> was at a low in 2014 but raised substantially in 2015 and is in the middle for the total media spend in 2016.</w:t>
      </w:r>
    </w:p>
    <w:p>
      <w:pPr>
        <w:pStyle w:val="Body"/>
        <w:numPr>
          <w:ilvl w:val="0"/>
          <w:numId w:val="48"/>
        </w:numPr>
        <w:bidi w:val="0"/>
        <w:ind w:right="0"/>
        <w:jc w:val="left"/>
        <w:rPr>
          <w:rtl w:val="0"/>
          <w:lang w:val="en-US"/>
        </w:rPr>
      </w:pPr>
      <w:r>
        <w:rPr>
          <w:rStyle w:val="Hyperlink.1"/>
          <w:rtl w:val="0"/>
          <w:lang w:val="en-US"/>
        </w:rPr>
        <w:t>Sobeys has the least amount of money spent on media out of the other 2 brands in 2016.</w:t>
      </w:r>
    </w:p>
    <w:p>
      <w:pPr>
        <w:pStyle w:val="Body"/>
        <w:numPr>
          <w:ilvl w:val="0"/>
          <w:numId w:val="48"/>
        </w:numPr>
        <w:bidi w:val="0"/>
        <w:ind w:right="0"/>
        <w:jc w:val="left"/>
        <w:rPr>
          <w:rtl w:val="0"/>
          <w:lang w:val="it-IT"/>
        </w:rPr>
      </w:pPr>
      <w:r>
        <w:rPr>
          <w:rStyle w:val="Hyperlink.1"/>
          <w:rtl w:val="0"/>
          <w:lang w:val="it-IT"/>
        </w:rPr>
        <w:t xml:space="preserve">In conclusion </w:t>
      </w:r>
      <w:r>
        <w:rPr>
          <w:rStyle w:val="None"/>
          <w:u w:val="single"/>
          <w:rtl w:val="0"/>
        </w:rPr>
        <w:t>Metro</w:t>
      </w:r>
      <w:r>
        <w:rPr>
          <w:rStyle w:val="Hyperlink.1"/>
          <w:rtl w:val="0"/>
          <w:lang w:val="en-US"/>
        </w:rPr>
        <w:t xml:space="preserve"> is spending the most in media in 2016 and </w:t>
      </w:r>
      <w:r>
        <w:rPr>
          <w:rStyle w:val="None"/>
          <w:u w:val="single"/>
          <w:rtl w:val="0"/>
          <w:lang w:val="en-US"/>
        </w:rPr>
        <w:t>Loblaws</w:t>
      </w:r>
      <w:r>
        <w:rPr>
          <w:rStyle w:val="Hyperlink.1"/>
          <w:rtl w:val="0"/>
          <w:lang w:val="it-IT"/>
        </w:rPr>
        <w:t xml:space="preserve"> is in second.</w:t>
      </w:r>
    </w:p>
    <w:p>
      <w:pPr>
        <w:pStyle w:val="Heading 2"/>
      </w:pPr>
      <w:bookmarkStart w:name="_idghvdh0qrk" w:id="24"/>
      <w:bookmarkEnd w:id="24"/>
      <w:r>
        <w:rPr>
          <w:rStyle w:val="Hyperlink.1"/>
          <w:rFonts w:ascii="Arial Unicode MS" w:cs="Arial Unicode MS" w:hAnsi="Arial Unicode MS" w:eastAsia="Arial Unicode MS"/>
          <w:b w:val="0"/>
          <w:bCs w:val="0"/>
          <w:i w:val="0"/>
          <w:iCs w:val="0"/>
        </w:rPr>
        <w:br w:type="page"/>
      </w:r>
    </w:p>
    <w:p>
      <w:pPr>
        <w:pStyle w:val="Heading 2"/>
        <w:rPr>
          <w:rStyle w:val="Hyperlink.0"/>
        </w:rPr>
      </w:pPr>
      <w:bookmarkStart w:name="_f72sjn3ai" w:id="25"/>
      <w:bookmarkEnd w:id="25"/>
      <w:r>
        <w:rPr>
          <w:rStyle w:val="Hyperlink.0"/>
          <w:rFonts w:cs="Arial Unicode MS" w:eastAsia="Arial Unicode MS"/>
          <w:rtl w:val="0"/>
        </w:rPr>
        <w:t>C</w:t>
      </w:r>
      <w:r>
        <w:rPr>
          <w:rStyle w:val="Hyperlink.0"/>
          <w:rFonts w:cs="Arial Unicode MS" w:eastAsia="Arial Unicode MS"/>
          <w:rtl w:val="0"/>
          <w:lang w:val="fr-FR"/>
        </w:rPr>
        <w:t>itations</w:t>
      </w:r>
    </w:p>
    <w:p>
      <w:pPr>
        <w:pStyle w:val="Body"/>
      </w:pPr>
      <w:r>
        <w:rPr>
          <w:rStyle w:val="Hyperlink.1"/>
          <w:rtl w:val="0"/>
          <w:lang w:val="en-US"/>
        </w:rPr>
        <w:t xml:space="preserve">Briggs, P., Creamer, S., &amp; Kim, A. (2018, January). Ecommerce in Canada 2018: EMarketer's Latest Forecast, with a Focus on Grocery. Retrieved November 19, 2018, from </w:t>
      </w:r>
      <w:r>
        <w:rPr>
          <w:rStyle w:val="Hyperlink.2"/>
        </w:rPr>
        <w:fldChar w:fldCharType="begin" w:fldLock="0"/>
      </w:r>
      <w:r>
        <w:rPr>
          <w:rStyle w:val="Hyperlink.2"/>
        </w:rPr>
        <w:instrText xml:space="preserve"> HYPERLINK "http://totalaccess.emarketer.com/reports/viewer.aspx?r=2002204&amp;ipauth=y"</w:instrText>
      </w:r>
      <w:r>
        <w:rPr>
          <w:rStyle w:val="Hyperlink.2"/>
        </w:rPr>
        <w:fldChar w:fldCharType="separate" w:fldLock="0"/>
      </w:r>
      <w:r>
        <w:rPr>
          <w:rStyle w:val="Hyperlink.2"/>
          <w:rtl w:val="0"/>
          <w:lang w:val="en-US"/>
        </w:rPr>
        <w:t>http://totalaccess.emarketer.com/reports/viewer.aspx?r=2002204&amp;ipauth=y</w:t>
      </w:r>
      <w:r>
        <w:rPr/>
        <w:fldChar w:fldCharType="end" w:fldLock="0"/>
      </w:r>
    </w:p>
    <w:p>
      <w:pPr>
        <w:pStyle w:val="Body"/>
      </w:pPr>
    </w:p>
    <w:p>
      <w:pPr>
        <w:pStyle w:val="Body"/>
      </w:pPr>
      <w:r>
        <w:rPr>
          <w:rStyle w:val="Hyperlink.1"/>
          <w:rtl w:val="0"/>
          <w:lang w:val="en-US"/>
        </w:rPr>
        <w:t xml:space="preserve">CSG. (2018, March). Leading supermarket and grocery chain companies in Canada in 2018, based on number of units. Retrieved November 19, 2018, from </w:t>
      </w:r>
      <w:r>
        <w:rPr>
          <w:rStyle w:val="Hyperlink.2"/>
        </w:rPr>
        <w:fldChar w:fldCharType="begin" w:fldLock="0"/>
      </w:r>
      <w:r>
        <w:rPr>
          <w:rStyle w:val="Hyperlink.2"/>
        </w:rPr>
        <w:instrText xml:space="preserve"> HYPERLINK "https://www-statista-com.library.sheridanc.on.ca/statistics/881815/supermarket-and-grocery-chain-units-canada/"</w:instrText>
      </w:r>
      <w:r>
        <w:rPr>
          <w:rStyle w:val="Hyperlink.2"/>
        </w:rPr>
        <w:fldChar w:fldCharType="separate" w:fldLock="0"/>
      </w:r>
      <w:r>
        <w:rPr>
          <w:rStyle w:val="Hyperlink.2"/>
          <w:rtl w:val="0"/>
          <w:lang w:val="en-US"/>
        </w:rPr>
        <w:t>https://www-statista-com.library.sheridanc.on.ca/statistics/881815/supermarket-and-grocery-chain-units-canada/</w:t>
      </w:r>
      <w:r>
        <w:rPr/>
        <w:fldChar w:fldCharType="end" w:fldLock="0"/>
      </w:r>
    </w:p>
    <w:p>
      <w:pPr>
        <w:pStyle w:val="Body"/>
      </w:pPr>
    </w:p>
    <w:p>
      <w:pPr>
        <w:pStyle w:val="Body"/>
      </w:pPr>
      <w:r>
        <w:rPr>
          <w:rStyle w:val="Hyperlink.1"/>
          <w:rtl w:val="0"/>
          <w:lang w:val="en-US"/>
        </w:rPr>
        <w:t xml:space="preserve">Loblaw Companies Limited. (n.d.). Charitable Giving. Retrieved December 11, 2018, from </w:t>
      </w:r>
      <w:r>
        <w:rPr>
          <w:rStyle w:val="Hyperlink.2"/>
        </w:rPr>
        <w:fldChar w:fldCharType="begin" w:fldLock="0"/>
      </w:r>
      <w:r>
        <w:rPr>
          <w:rStyle w:val="Hyperlink.2"/>
        </w:rPr>
        <w:instrText xml:space="preserve"> HYPERLINK "https://www.loblaw.ca/en/responsibility/community/charitable-giving.html"</w:instrText>
      </w:r>
      <w:r>
        <w:rPr>
          <w:rStyle w:val="Hyperlink.2"/>
        </w:rPr>
        <w:fldChar w:fldCharType="separate" w:fldLock="0"/>
      </w:r>
      <w:r>
        <w:rPr>
          <w:rStyle w:val="Hyperlink.2"/>
          <w:rtl w:val="0"/>
          <w:lang w:val="en-US"/>
        </w:rPr>
        <w:t>https://www.loblaw.ca/en/responsibility/community/charitable-giving.html</w:t>
      </w:r>
      <w:r>
        <w:rPr/>
        <w:fldChar w:fldCharType="end" w:fldLock="0"/>
      </w:r>
    </w:p>
    <w:p>
      <w:pPr>
        <w:pStyle w:val="Body"/>
      </w:pPr>
    </w:p>
    <w:p>
      <w:pPr>
        <w:pStyle w:val="Body"/>
      </w:pPr>
      <w:r>
        <w:rPr>
          <w:rStyle w:val="Hyperlink.1"/>
          <w:rtl w:val="0"/>
          <w:lang w:val="en-US"/>
        </w:rPr>
        <w:t xml:space="preserve">Cint. (2018, August). Canada: Where do you do your main grocery shopping? Retrieved November 19, 2018, from </w:t>
      </w:r>
      <w:r>
        <w:rPr>
          <w:rStyle w:val="Hyperlink.2"/>
        </w:rPr>
        <w:fldChar w:fldCharType="begin" w:fldLock="0"/>
      </w:r>
      <w:r>
        <w:rPr>
          <w:rStyle w:val="Hyperlink.2"/>
        </w:rPr>
        <w:instrText xml:space="preserve"> HYPERLINK "https://www-statista-com.library.sheridanc.on.ca/statistics/934973/canada-main-grocery-shopping-locations/"</w:instrText>
      </w:r>
      <w:r>
        <w:rPr>
          <w:rStyle w:val="Hyperlink.2"/>
        </w:rPr>
        <w:fldChar w:fldCharType="separate" w:fldLock="0"/>
      </w:r>
      <w:r>
        <w:rPr>
          <w:rStyle w:val="Hyperlink.2"/>
          <w:rtl w:val="0"/>
          <w:lang w:val="en-US"/>
        </w:rPr>
        <w:t>https://www-statista-com.library.sheridanc.on.ca/statistics/934973/canada-main-grocery-shopping-locations/</w:t>
      </w:r>
      <w:r>
        <w:rPr/>
        <w:fldChar w:fldCharType="end" w:fldLock="0"/>
      </w:r>
    </w:p>
    <w:p>
      <w:pPr>
        <w:pStyle w:val="Body"/>
      </w:pPr>
    </w:p>
    <w:p>
      <w:pPr>
        <w:pStyle w:val="Body"/>
      </w:pPr>
      <w:r>
        <w:rPr>
          <w:rStyle w:val="Hyperlink.1"/>
          <w:rtl w:val="0"/>
          <w:lang w:val="en-US"/>
        </w:rPr>
        <w:t xml:space="preserve">Statista. (2018). Supermarkets and Grocery Stores in Canada. Retrieved November 19, 2018, from </w:t>
      </w:r>
      <w:r>
        <w:rPr>
          <w:rStyle w:val="Hyperlink.2"/>
        </w:rPr>
        <w:fldChar w:fldCharType="begin" w:fldLock="0"/>
      </w:r>
      <w:r>
        <w:rPr>
          <w:rStyle w:val="Hyperlink.2"/>
        </w:rPr>
        <w:instrText xml:space="preserve"> HYPERLINK "https://www-statista-com.library.sheridanc.on.ca/study/34640/supermarkets-and-grocery-stores-in-canada-statista-dossier/"</w:instrText>
      </w:r>
      <w:r>
        <w:rPr>
          <w:rStyle w:val="Hyperlink.2"/>
        </w:rPr>
        <w:fldChar w:fldCharType="separate" w:fldLock="0"/>
      </w:r>
      <w:r>
        <w:rPr>
          <w:rStyle w:val="Hyperlink.2"/>
          <w:rtl w:val="0"/>
          <w:lang w:val="en-US"/>
        </w:rPr>
        <w:t>https://www-statista-com.library.sheridanc.on.ca/study/34640/supermarkets-and-grocery-stores-in-canada-statista-dossier/</w:t>
      </w:r>
      <w:r>
        <w:rPr/>
        <w:fldChar w:fldCharType="end" w:fldLock="0"/>
      </w:r>
    </w:p>
    <w:p>
      <w:pPr>
        <w:pStyle w:val="Body"/>
      </w:pPr>
    </w:p>
    <w:p>
      <w:pPr>
        <w:pStyle w:val="Body"/>
      </w:pPr>
      <w:r>
        <w:rPr>
          <w:rStyle w:val="Hyperlink.1"/>
          <w:rtl w:val="0"/>
          <w:lang w:val="en-US"/>
        </w:rPr>
        <w:t xml:space="preserve">Industry Canada, &amp; StatCan. (2017, October). Number of grocery stores in Canada as of December 2016, by region. Retrieved November 19, 2018, from </w:t>
      </w:r>
      <w:r>
        <w:rPr>
          <w:rStyle w:val="Hyperlink.2"/>
        </w:rPr>
        <w:fldChar w:fldCharType="begin" w:fldLock="0"/>
      </w:r>
      <w:r>
        <w:rPr>
          <w:rStyle w:val="Hyperlink.2"/>
        </w:rPr>
        <w:instrText xml:space="preserve"> HYPERLINK "https://www-statista-com.library.sheridanc.on.ca/statistics/459530/number-of-grocery-stores-by-region-canada/"</w:instrText>
      </w:r>
      <w:r>
        <w:rPr>
          <w:rStyle w:val="Hyperlink.2"/>
        </w:rPr>
        <w:fldChar w:fldCharType="separate" w:fldLock="0"/>
      </w:r>
      <w:r>
        <w:rPr>
          <w:rStyle w:val="Hyperlink.2"/>
          <w:rtl w:val="0"/>
          <w:lang w:val="en-US"/>
        </w:rPr>
        <w:t>https://www-statista-com.library.sheridanc.on.ca/statistics/459530/number-of-grocery-stores-by-region-canada/</w:t>
      </w:r>
      <w:r>
        <w:rPr/>
        <w:fldChar w:fldCharType="end" w:fldLock="0"/>
      </w:r>
    </w:p>
    <w:p>
      <w:pPr>
        <w:pStyle w:val="Body"/>
      </w:pPr>
    </w:p>
    <w:p>
      <w:pPr>
        <w:pStyle w:val="Body"/>
      </w:pPr>
      <w:r>
        <w:rPr>
          <w:rStyle w:val="Hyperlink.1"/>
          <w:rtl w:val="0"/>
          <w:lang w:val="en-US"/>
        </w:rPr>
        <w:t>Grocery_Crosstab [PDF]. (2018, November 21). Vividata 2017 Q2 Readership and Product Database.</w:t>
      </w:r>
    </w:p>
    <w:p>
      <w:pPr>
        <w:pStyle w:val="Body"/>
      </w:pPr>
    </w:p>
    <w:p>
      <w:pPr>
        <w:pStyle w:val="Body"/>
      </w:pPr>
      <w:r>
        <w:rPr>
          <w:rStyle w:val="Hyperlink.1"/>
          <w:rtl w:val="0"/>
          <w:lang w:val="en-US"/>
        </w:rPr>
        <w:t>Robey, C. (2018). Resource_Reference_Brand Specific Data [XLSX].</w:t>
      </w:r>
    </w:p>
    <w:p>
      <w:pPr>
        <w:pStyle w:val="Body"/>
      </w:pPr>
    </w:p>
    <w:p>
      <w:pPr>
        <w:pStyle w:val="Body"/>
        <w:rPr>
          <w:rStyle w:val="None"/>
          <w:outline w:val="0"/>
          <w:color w:val="333333"/>
          <w:u w:color="333333"/>
          <w:shd w:val="clear" w:color="auto" w:fill="ffffff"/>
          <w14:textFill>
            <w14:solidFill>
              <w14:srgbClr w14:val="333333"/>
            </w14:solidFill>
          </w14:textFill>
        </w:rPr>
      </w:pPr>
      <w:r>
        <w:rPr>
          <w:rStyle w:val="None"/>
          <w:outline w:val="0"/>
          <w:color w:val="333333"/>
          <w:u w:color="333333"/>
          <w:shd w:val="clear" w:color="auto" w:fill="ffffff"/>
          <w:rtl w:val="0"/>
          <w:lang w:val="en-US"/>
          <w14:textFill>
            <w14:solidFill>
              <w14:srgbClr w14:val="333333"/>
            </w14:solidFill>
          </w14:textFill>
        </w:rPr>
        <w:t xml:space="preserve">Monthly retail sales of grocery stores in Canada from 2015 to 2018 (in billion Canadian dollars)* [Chart]. (2018). In </w:t>
      </w:r>
      <w:r>
        <w:rPr>
          <w:rStyle w:val="None"/>
          <w:i w:val="1"/>
          <w:iCs w:val="1"/>
          <w:outline w:val="0"/>
          <w:color w:val="333333"/>
          <w:u w:color="333333"/>
          <w:rtl w:val="0"/>
          <w:lang w:val="it-IT"/>
          <w14:textFill>
            <w14:solidFill>
              <w14:srgbClr w14:val="333333"/>
            </w14:solidFill>
          </w14:textFill>
        </w:rPr>
        <w:t>Statista</w:t>
      </w:r>
      <w:r>
        <w:rPr>
          <w:rStyle w:val="None"/>
          <w:outline w:val="0"/>
          <w:color w:val="333333"/>
          <w:u w:color="333333"/>
          <w:shd w:val="clear" w:color="auto" w:fill="ffffff"/>
          <w:rtl w:val="0"/>
          <w:lang w:val="en-US"/>
          <w14:textFill>
            <w14:solidFill>
              <w14:srgbClr w14:val="333333"/>
            </w14:solidFill>
          </w14:textFill>
        </w:rPr>
        <w:t xml:space="preserve">. Retrieved November 22, 2018, from </w:t>
      </w:r>
      <w:r>
        <w:rPr>
          <w:rStyle w:val="Hyperlink.3"/>
        </w:rPr>
        <w:fldChar w:fldCharType="begin" w:fldLock="0"/>
      </w:r>
      <w:r>
        <w:rPr>
          <w:rStyle w:val="Hyperlink.3"/>
        </w:rPr>
        <w:instrText xml:space="preserve"> HYPERLINK "https://www-statista-com.library.sheridanc.on.ca/statistics/461774/monthly-retail-sales-of-grocery-stores-canada/"</w:instrText>
      </w:r>
      <w:r>
        <w:rPr>
          <w:rStyle w:val="Hyperlink.3"/>
        </w:rPr>
        <w:fldChar w:fldCharType="separate" w:fldLock="0"/>
      </w:r>
      <w:r>
        <w:rPr>
          <w:rStyle w:val="Hyperlink.3"/>
          <w:rtl w:val="0"/>
          <w:lang w:val="en-US"/>
        </w:rPr>
        <w:t>https://www-statista-com.library.sheridanc.on.ca/statistics/461774/monthly-retail-sales-of-grocery-stores-canada/</w:t>
      </w:r>
      <w:r>
        <w:rPr/>
        <w:fldChar w:fldCharType="end" w:fldLock="0"/>
      </w:r>
    </w:p>
    <w:p>
      <w:pPr>
        <w:pStyle w:val="Body"/>
        <w:rPr>
          <w:rStyle w:val="None"/>
          <w:outline w:val="0"/>
          <w:color w:val="333333"/>
          <w:u w:color="333333"/>
          <w:shd w:val="clear" w:color="auto" w:fill="ffffff"/>
          <w14:textFill>
            <w14:solidFill>
              <w14:srgbClr w14:val="333333"/>
            </w14:solidFill>
          </w14:textFill>
        </w:rPr>
      </w:pPr>
    </w:p>
    <w:p>
      <w:pPr>
        <w:pStyle w:val="Body"/>
      </w:pPr>
      <w:r>
        <w:rPr>
          <w:rStyle w:val="Hyperlink.1"/>
          <w:rtl w:val="0"/>
          <w:lang w:val="en-US"/>
        </w:rPr>
        <w:t>Loblaws_Media_Brief_Crosstab [PDF]. (2018, November 16). Vividata 2017 Q2 Readership and Product Database.</w:t>
      </w:r>
    </w:p>
    <w:p>
      <w:pPr>
        <w:pStyle w:val="Body"/>
      </w:pPr>
    </w:p>
    <w:p>
      <w:pPr>
        <w:pStyle w:val="Body"/>
      </w:pPr>
      <w:r>
        <w:rPr>
          <w:rStyle w:val="Hyperlink.1"/>
          <w:rtl w:val="0"/>
          <w:lang w:val="en-US"/>
        </w:rPr>
        <w:t>Loblaws_Leisure_Habits_Crosstab [PDF]. (2018, November 16). Vividata 2017 Q2 Readership and Product Database.</w:t>
      </w:r>
    </w:p>
    <w:p>
      <w:pPr>
        <w:pStyle w:val="Body"/>
      </w:pPr>
    </w:p>
    <w:p>
      <w:pPr>
        <w:pStyle w:val="Body"/>
      </w:pPr>
      <w:r>
        <w:rPr>
          <w:rStyle w:val="Hyperlink.1"/>
          <w:rtl w:val="0"/>
          <w:lang w:val="en-US"/>
        </w:rPr>
        <w:t xml:space="preserve">Euromonitor. (2018, June 21). Loblaws Cos Ltd: Global Company Profile. Retrieved November 19, 2018, from </w:t>
      </w:r>
      <w:r>
        <w:rPr>
          <w:rStyle w:val="Hyperlink.2"/>
        </w:rPr>
        <w:fldChar w:fldCharType="begin" w:fldLock="0"/>
      </w:r>
      <w:r>
        <w:rPr>
          <w:rStyle w:val="Hyperlink.2"/>
        </w:rPr>
        <w:instrText xml:space="preserve"> HYPERLINK "http://www.portal.euromonitor.com.library.sheridanc.on.ca/portal/analysis/tab%23"</w:instrText>
      </w:r>
      <w:r>
        <w:rPr>
          <w:rStyle w:val="Hyperlink.2"/>
        </w:rPr>
        <w:fldChar w:fldCharType="separate" w:fldLock="0"/>
      </w:r>
      <w:r>
        <w:rPr>
          <w:rStyle w:val="Hyperlink.2"/>
          <w:rtl w:val="0"/>
          <w:lang w:val="en-US"/>
        </w:rPr>
        <w:t>http://www.portal.euromonitor.com.library.sheridanc.on.ca/portal/analysis/tab#</w:t>
      </w:r>
      <w:r>
        <w:rPr/>
        <w:fldChar w:fldCharType="end" w:fldLock="0"/>
      </w:r>
    </w:p>
    <w:p>
      <w:pPr>
        <w:pStyle w:val="Body"/>
      </w:pPr>
    </w:p>
    <w:p>
      <w:pPr>
        <w:pStyle w:val="Body"/>
      </w:pPr>
      <w:r>
        <w:rPr>
          <w:rStyle w:val="None"/>
          <w:outline w:val="0"/>
          <w:color w:val="333333"/>
          <w:u w:color="333333"/>
          <w:shd w:val="clear" w:color="auto" w:fill="ffffff"/>
          <w:rtl w:val="0"/>
          <w:lang w:val="en-US"/>
          <w14:textFill>
            <w14:solidFill>
              <w14:srgbClr w14:val="333333"/>
            </w14:solidFill>
          </w14:textFill>
        </w:rPr>
        <w:t xml:space="preserve">Mobile Investment Conference. (2017, September 8). Retrieved December 11, 2018 from </w:t>
      </w:r>
      <w:r>
        <w:rPr>
          <w:rStyle w:val="Hyperlink.3"/>
        </w:rPr>
        <w:fldChar w:fldCharType="begin" w:fldLock="0"/>
      </w:r>
      <w:r>
        <w:rPr>
          <w:rStyle w:val="Hyperlink.3"/>
        </w:rPr>
        <w:instrText xml:space="preserve"> HYPERLINK "https://ceo.ca/@nasdaq/sobeys-inc-announces-five-year-sponsorship-with-the"</w:instrText>
      </w:r>
      <w:r>
        <w:rPr>
          <w:rStyle w:val="Hyperlink.3"/>
        </w:rPr>
        <w:fldChar w:fldCharType="separate" w:fldLock="0"/>
      </w:r>
      <w:r>
        <w:rPr>
          <w:rStyle w:val="Hyperlink.3"/>
          <w:rtl w:val="0"/>
          <w:lang w:val="en-US"/>
        </w:rPr>
        <w:t>https://ceo.ca/@nasdaq/sobeys-inc-announces-five-year-sponsorship-with-the</w:t>
      </w:r>
      <w:r>
        <w:rPr/>
        <w:fldChar w:fldCharType="end" w:fldLock="0"/>
      </w:r>
    </w:p>
    <w:p>
      <w:pPr>
        <w:pStyle w:val="Body"/>
      </w:pPr>
    </w:p>
    <w:p>
      <w:pPr>
        <w:pStyle w:val="Body"/>
      </w:pPr>
      <w:r>
        <w:rPr>
          <w:rStyle w:val="None"/>
          <w:outline w:val="0"/>
          <w:color w:val="333333"/>
          <w:u w:color="333333"/>
          <w:shd w:val="clear" w:color="auto" w:fill="ffffff"/>
          <w:rtl w:val="0"/>
          <w:lang w:val="en-US"/>
          <w14:textFill>
            <w14:solidFill>
              <w14:srgbClr w14:val="333333"/>
            </w14:solidFill>
          </w14:textFill>
        </w:rPr>
        <w:t xml:space="preserve">Sobeys. (n.d.). Social Responsibility. Retrieved December 11, 2018 from </w:t>
      </w:r>
      <w:r>
        <w:rPr>
          <w:rStyle w:val="Hyperlink.3"/>
        </w:rPr>
        <w:fldChar w:fldCharType="begin" w:fldLock="0"/>
      </w:r>
      <w:r>
        <w:rPr>
          <w:rStyle w:val="Hyperlink.3"/>
        </w:rPr>
        <w:instrText xml:space="preserve"> HYPERLINK "https://corporate.sobeys.com/social-responsibility/"</w:instrText>
      </w:r>
      <w:r>
        <w:rPr>
          <w:rStyle w:val="Hyperlink.3"/>
        </w:rPr>
        <w:fldChar w:fldCharType="separate" w:fldLock="0"/>
      </w:r>
      <w:r>
        <w:rPr>
          <w:rStyle w:val="Hyperlink.3"/>
          <w:rtl w:val="0"/>
          <w:lang w:val="en-US"/>
        </w:rPr>
        <w:t>https://corporate.sobeys.com/social-responsibility/</w:t>
      </w:r>
      <w:r>
        <w:rPr/>
        <w:fldChar w:fldCharType="end" w:fldLock="0"/>
      </w:r>
    </w:p>
    <w:p>
      <w:pPr>
        <w:pStyle w:val="Body"/>
      </w:pPr>
    </w:p>
    <w:p>
      <w:pPr>
        <w:pStyle w:val="Body"/>
      </w:pPr>
      <w:r>
        <w:rPr>
          <w:rStyle w:val="None"/>
          <w:outline w:val="0"/>
          <w:color w:val="333333"/>
          <w:u w:color="333333"/>
          <w:shd w:val="clear" w:color="auto" w:fill="ffffff"/>
          <w:rtl w:val="0"/>
          <w:lang w:val="en-US"/>
          <w14:textFill>
            <w14:solidFill>
              <w14:srgbClr w14:val="333333"/>
            </w14:solidFill>
          </w14:textFill>
        </w:rPr>
        <w:t xml:space="preserve">Venkatesan, D. (2018, November 9). Sobeys becomes official sponsor for MLSE teams. Retrieved December 11, 2018 from </w:t>
      </w:r>
      <w:r>
        <w:rPr>
          <w:rStyle w:val="Hyperlink.3"/>
        </w:rPr>
        <w:fldChar w:fldCharType="begin" w:fldLock="0"/>
      </w:r>
      <w:r>
        <w:rPr>
          <w:rStyle w:val="Hyperlink.3"/>
        </w:rPr>
        <w:instrText xml:space="preserve"> HYPERLINK "http://mediaincanada.com/2018/11/09/sobeys-becomes-official-sponsor-for-all-six-mlse-teams/"</w:instrText>
      </w:r>
      <w:r>
        <w:rPr>
          <w:rStyle w:val="Hyperlink.3"/>
        </w:rPr>
        <w:fldChar w:fldCharType="separate" w:fldLock="0"/>
      </w:r>
      <w:r>
        <w:rPr>
          <w:rStyle w:val="Hyperlink.3"/>
          <w:rtl w:val="0"/>
          <w:lang w:val="en-US"/>
        </w:rPr>
        <w:t>http://mediaincanada.com/2018/11/09/sobeys-becomes-official-sponsor-for-all-six-mlse-teams/</w:t>
      </w:r>
      <w:r>
        <w:rPr/>
        <w:fldChar w:fldCharType="end" w:fldLock="0"/>
      </w:r>
    </w:p>
    <w:p>
      <w:pPr>
        <w:pStyle w:val="Body"/>
      </w:pPr>
    </w:p>
    <w:p>
      <w:pPr>
        <w:pStyle w:val="Body"/>
      </w:pPr>
      <w:r>
        <w:rPr>
          <w:rStyle w:val="None"/>
          <w:outline w:val="0"/>
          <w:color w:val="333333"/>
          <w:u w:color="333333"/>
          <w:shd w:val="clear" w:color="auto" w:fill="ffffff"/>
          <w:rtl w:val="0"/>
          <w:lang w:val="en-US"/>
          <w14:textFill>
            <w14:solidFill>
              <w14:srgbClr w14:val="333333"/>
            </w14:solidFill>
          </w14:textFill>
        </w:rPr>
        <w:t xml:space="preserve">Sobeys Announces $250,000 for Special Olympics National Summer Games. (2018, June 19). Retrieved December 11, 2018 from </w:t>
      </w:r>
      <w:r>
        <w:rPr>
          <w:rStyle w:val="Hyperlink.3"/>
        </w:rPr>
        <w:fldChar w:fldCharType="begin" w:fldLock="0"/>
      </w:r>
      <w:r>
        <w:rPr>
          <w:rStyle w:val="Hyperlink.3"/>
        </w:rPr>
        <w:instrText xml:space="preserve"> HYPERLINK "https://so2018.specialolympicsns.ca/sobeys-announces-25000-in-support-to-special-olympics-national-summer-games/"</w:instrText>
      </w:r>
      <w:r>
        <w:rPr>
          <w:rStyle w:val="Hyperlink.3"/>
        </w:rPr>
        <w:fldChar w:fldCharType="separate" w:fldLock="0"/>
      </w:r>
      <w:r>
        <w:rPr>
          <w:rStyle w:val="Hyperlink.3"/>
          <w:rtl w:val="0"/>
          <w:lang w:val="en-US"/>
        </w:rPr>
        <w:t>https://so2018.specialolympicsns.ca/sobeys-announces-25000-in-support-to-special-olympics-national-summer-games/</w:t>
      </w:r>
      <w:r>
        <w:rPr/>
        <w:fldChar w:fldCharType="end" w:fldLock="0"/>
      </w:r>
    </w:p>
    <w:p>
      <w:pPr>
        <w:pStyle w:val="Body"/>
      </w:pPr>
    </w:p>
    <w:p>
      <w:pPr>
        <w:pStyle w:val="Body"/>
      </w:pPr>
      <w:r>
        <w:rPr>
          <w:rStyle w:val="None"/>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Metro Ontario returns as sponsor of Toronto culinary event. (2017, June 14). Retrieved December 11, 2018, from </w:t>
      </w:r>
      <w:r>
        <w:rPr>
          <w:rStyle w:val="Hyperlink.4"/>
        </w:rPr>
        <w:fldChar w:fldCharType="begin" w:fldLock="0"/>
      </w:r>
      <w:r>
        <w:rPr>
          <w:rStyle w:val="Hyperlink.4"/>
        </w:rPr>
        <w:instrText xml:space="preserve"> HYPERLINK "http://www.canadiangrocer.com/categories/metro-ontario-returns-as-sponsor-of-toronto-culinary-event-73543"</w:instrText>
      </w:r>
      <w:r>
        <w:rPr>
          <w:rStyle w:val="Hyperlink.4"/>
        </w:rPr>
        <w:fldChar w:fldCharType="separate" w:fldLock="0"/>
      </w:r>
      <w:r>
        <w:rPr>
          <w:rStyle w:val="Hyperlink.4"/>
          <w:rtl w:val="0"/>
          <w:lang w:val="en-US"/>
        </w:rPr>
        <w:t>http://www.canadiangrocer.com/categories/metro-ontario-returns-as-sponsor-of-toronto-culinary-event-73543</w:t>
      </w:r>
      <w:r>
        <w:rPr/>
        <w:fldChar w:fldCharType="end" w:fldLock="0"/>
      </w:r>
    </w:p>
    <w:p>
      <w:pPr>
        <w:pStyle w:val="Body"/>
      </w:pPr>
    </w:p>
    <w:p>
      <w:pPr>
        <w:pStyle w:val="Body"/>
      </w:pPr>
      <w:r>
        <w:rPr>
          <w:rStyle w:val="None"/>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Metro Ontario Launches Taste Summer Campaign - Includes sponsorship of inaugural Taste of Toronto Festival. (2014, July 24). Retrieved December 11, 2018, from </w:t>
      </w:r>
      <w:r>
        <w:rPr>
          <w:rStyle w:val="Hyperlink.4"/>
        </w:rPr>
        <w:fldChar w:fldCharType="begin" w:fldLock="0"/>
      </w:r>
      <w:r>
        <w:rPr>
          <w:rStyle w:val="Hyperlink.4"/>
        </w:rPr>
        <w:instrText xml:space="preserve"> HYPERLINK "https://www.newswire.ca/news-releases/metro-ontario-launches-taste-summer-campaign---includes-sponsorship-of-inaugural-taste-of-toronto-festival-515154091.html"</w:instrText>
      </w:r>
      <w:r>
        <w:rPr>
          <w:rStyle w:val="Hyperlink.4"/>
        </w:rPr>
        <w:fldChar w:fldCharType="separate" w:fldLock="0"/>
      </w:r>
      <w:r>
        <w:rPr>
          <w:rStyle w:val="Hyperlink.4"/>
          <w:rtl w:val="0"/>
          <w:lang w:val="en-US"/>
        </w:rPr>
        <w:t>https://www.newswire.ca/news-releases/metro-ontario-launches-taste-summer-campaign---includes-sponsorship-of-inaugural-taste-of-toronto-festival-515154091.html</w:t>
      </w:r>
      <w:r>
        <w:rPr/>
        <w:fldChar w:fldCharType="end" w:fldLock="0"/>
      </w:r>
    </w:p>
    <w:sectPr>
      <w:headerReference w:type="default" r:id="rId9"/>
      <w:footerReference w:type="default" r:id="rId10"/>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lang w:val="da-DK"/>
      </w:rPr>
      <w:t xml:space="preserve"> Page </w:t>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rPr>
  </w:style>
  <w:style w:type="character" w:styleId="Hyperlink.1">
    <w:name w:val="Hyperlink.1"/>
    <w:basedOn w:val="None"/>
    <w:next w:val="Hyperlink.1"/>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vertAlign w:val="baseline"/>
      <w14:textOutline>
        <w14:noFill/>
      </w14:textOutline>
      <w14:textFill>
        <w14:solidFill>
          <w14:srgbClr w14:val="434343"/>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paragraph" w:styleId="heading 4">
    <w:name w:val="heading 4"/>
    <w:next w:val="Body"/>
    <w:pPr>
      <w:keepNext w:val="1"/>
      <w:keepLines w:val="1"/>
      <w:pageBreakBefore w:val="0"/>
      <w:widowControl w:val="1"/>
      <w:shd w:val="clear" w:color="auto" w:fill="auto"/>
      <w:suppressAutoHyphens w:val="0"/>
      <w:bidi w:val="0"/>
      <w:spacing w:before="280" w:after="80"/>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vertAlign w:val="baseline"/>
      <w:lang w:val="en-US"/>
      <w14:textFill>
        <w14:solidFill>
          <w14:srgbClr w14:val="666666"/>
        </w14:solidFill>
      </w14:textFill>
    </w:r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character" w:styleId="Hyperlink.2">
    <w:name w:val="Hyperlink.2"/>
    <w:basedOn w:val="None"/>
    <w:next w:val="Hyperlink.2"/>
    <w:rPr>
      <w:outline w:val="0"/>
      <w:color w:val="1155cc"/>
      <w:u w:val="single" w:color="1155cc"/>
      <w14:textFill>
        <w14:solidFill>
          <w14:srgbClr w14:val="1155CC"/>
        </w14:solidFill>
      </w14:textFill>
    </w:rPr>
  </w:style>
  <w:style w:type="character" w:styleId="Hyperlink.3">
    <w:name w:val="Hyperlink.3"/>
    <w:basedOn w:val="None"/>
    <w:next w:val="Hyperlink.3"/>
    <w:rPr>
      <w:outline w:val="0"/>
      <w:color w:val="1155cc"/>
      <w:u w:val="single" w:color="1155cc"/>
      <w:shd w:val="clear" w:color="auto" w:fill="ffffff"/>
      <w14:textFill>
        <w14:solidFill>
          <w14:srgbClr w14:val="1155CC"/>
        </w14:solidFill>
      </w14:textFill>
    </w:rPr>
  </w:style>
  <w:style w:type="character" w:styleId="Hyperlink.4">
    <w:name w:val="Hyperlink.4"/>
    <w:basedOn w:val="None"/>
    <w:next w:val="Hyperlink.4"/>
    <w:rPr>
      <w:rFonts w:ascii="Times New Roman" w:cs="Times New Roman" w:hAnsi="Times New Roman" w:eastAsia="Times New Roman"/>
      <w:outline w:val="0"/>
      <w:color w:val="1155cc"/>
      <w:sz w:val="24"/>
      <w:szCs w:val="24"/>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